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0C485" w14:textId="6AF94DD9" w:rsidR="00633ED7" w:rsidRPr="004620D6" w:rsidRDefault="00633ED7" w:rsidP="00633ED7">
      <w:pPr>
        <w:pStyle w:val="3GPPHeader"/>
        <w:rPr>
          <w:highlight w:val="yellow"/>
        </w:rPr>
      </w:pPr>
      <w:r w:rsidRPr="004620D6">
        <w:t>3GPP TSG-RAN WG1 #90</w:t>
      </w:r>
      <w:r w:rsidRPr="004620D6">
        <w:tab/>
        <w:t>R1-</w:t>
      </w:r>
      <w:r w:rsidR="00161982" w:rsidRPr="00161982">
        <w:t xml:space="preserve"> </w:t>
      </w:r>
      <w:r w:rsidR="00161982" w:rsidRPr="004620D6">
        <w:t>1714285</w:t>
      </w:r>
    </w:p>
    <w:p w14:paraId="75F02BBB" w14:textId="77777777" w:rsidR="00633ED7" w:rsidRDefault="00633ED7" w:rsidP="00633ED7">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0AC559F" w:rsidR="00E90E49" w:rsidRPr="00327997" w:rsidRDefault="003D3C45" w:rsidP="00327997">
      <w:pPr>
        <w:pStyle w:val="3GPPHeader"/>
      </w:pPr>
      <w:r w:rsidRPr="00327997">
        <w:t>Title:</w:t>
      </w:r>
      <w:r w:rsidR="00E90E49" w:rsidRPr="00327997">
        <w:tab/>
      </w:r>
      <w:r w:rsidR="00EC745B" w:rsidRPr="00EC745B">
        <w:t>Encoding and mapping of CSI parameters</w:t>
      </w:r>
    </w:p>
    <w:p w14:paraId="2D554DE3" w14:textId="1E00AEB6" w:rsidR="00952A24" w:rsidRPr="00327997" w:rsidRDefault="00952A24" w:rsidP="00327997">
      <w:pPr>
        <w:pStyle w:val="3GPPHeader"/>
      </w:pPr>
      <w:r w:rsidRPr="00327997">
        <w:t>Agenda Item:</w:t>
      </w:r>
      <w:r w:rsidRPr="00327997">
        <w:tab/>
      </w:r>
      <w:r w:rsidR="00633ED7">
        <w:t>6.1.2.2.3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EAB4026" w:rsidR="00E90E49" w:rsidRDefault="007F75D5" w:rsidP="00CE0424">
      <w:pPr>
        <w:pStyle w:val="Heading1"/>
      </w:pPr>
      <w:r>
        <w:t>Introduction</w:t>
      </w:r>
    </w:p>
    <w:p w14:paraId="4AC8C919" w14:textId="0723BF68" w:rsidR="00EC745B" w:rsidRDefault="00EC745B" w:rsidP="00EC745B">
      <w:r>
        <w:t>In RAN1#89, detailed descriptions of the codebooks for Type I and Type II CSI reporting was agreed:</w:t>
      </w:r>
    </w:p>
    <w:p w14:paraId="0793AEC4" w14:textId="77777777" w:rsidR="005A2BB6" w:rsidRPr="005A2BB6" w:rsidRDefault="005A2BB6" w:rsidP="005A2BB6">
      <w:pPr>
        <w:rPr>
          <w:rFonts w:eastAsia="MS Mincho"/>
          <w:u w:val="single"/>
          <w:lang w:eastAsia="ja-JP"/>
        </w:rPr>
      </w:pPr>
      <w:r w:rsidRPr="005A2BB6">
        <w:rPr>
          <w:rFonts w:eastAsia="MS Mincho" w:hint="eastAsia"/>
          <w:highlight w:val="green"/>
          <w:u w:val="single"/>
          <w:lang w:eastAsia="ja-JP"/>
        </w:rPr>
        <w:t>Agreements:</w:t>
      </w:r>
    </w:p>
    <w:p w14:paraId="47A43FEA" w14:textId="77777777" w:rsidR="005A2BB6" w:rsidRPr="003E184A" w:rsidRDefault="005A2BB6" w:rsidP="005A2BB6">
      <w:pPr>
        <w:numPr>
          <w:ilvl w:val="0"/>
          <w:numId w:val="19"/>
        </w:numPr>
        <w:spacing w:after="0"/>
        <w:rPr>
          <w:rFonts w:eastAsia="MS Mincho"/>
          <w:lang w:eastAsia="ja-JP"/>
        </w:rPr>
      </w:pPr>
      <w:r>
        <w:rPr>
          <w:rFonts w:eastAsia="MS Mincho" w:hint="eastAsia"/>
          <w:lang w:eastAsia="ja-JP"/>
        </w:rPr>
        <w:t xml:space="preserve">For </w:t>
      </w:r>
      <w:r w:rsidRPr="00103434">
        <w:rPr>
          <w:rFonts w:eastAsia="MS Mincho"/>
          <w:lang w:eastAsia="ja-JP"/>
        </w:rPr>
        <w:t>Type I feedback</w:t>
      </w:r>
      <w:r>
        <w:rPr>
          <w:rFonts w:eastAsia="MS Mincho" w:hint="eastAsia"/>
          <w:lang w:eastAsia="ja-JP"/>
        </w:rPr>
        <w:t xml:space="preserve">, </w:t>
      </w:r>
      <w:r w:rsidRPr="003E184A">
        <w:rPr>
          <w:rFonts w:eastAsia="MS Mincho"/>
          <w:lang w:eastAsia="ja-JP"/>
        </w:rPr>
        <w:t>NR supports at least the following (DL) CSI reporting parameters</w:t>
      </w:r>
    </w:p>
    <w:p w14:paraId="0334BC05" w14:textId="77777777" w:rsidR="005A2BB6" w:rsidRPr="003E184A" w:rsidRDefault="005A2BB6" w:rsidP="005A2BB6">
      <w:pPr>
        <w:numPr>
          <w:ilvl w:val="1"/>
          <w:numId w:val="19"/>
        </w:numPr>
        <w:spacing w:after="0"/>
        <w:rPr>
          <w:rFonts w:eastAsia="MS Mincho"/>
          <w:lang w:eastAsia="ja-JP"/>
        </w:rPr>
      </w:pPr>
      <w:r>
        <w:rPr>
          <w:rFonts w:eastAsia="MS Mincho" w:hint="eastAsia"/>
          <w:lang w:eastAsia="ja-JP"/>
        </w:rPr>
        <w:t>Resource</w:t>
      </w:r>
      <w:r w:rsidRPr="003E184A">
        <w:rPr>
          <w:rFonts w:eastAsia="MS Mincho"/>
          <w:lang w:eastAsia="ja-JP"/>
        </w:rPr>
        <w:t xml:space="preserve"> </w:t>
      </w:r>
      <w:r>
        <w:rPr>
          <w:rFonts w:eastAsia="MS Mincho" w:hint="eastAsia"/>
          <w:lang w:eastAsia="ja-JP"/>
        </w:rPr>
        <w:t xml:space="preserve">selection </w:t>
      </w:r>
      <w:r w:rsidRPr="003E184A">
        <w:rPr>
          <w:rFonts w:eastAsia="MS Mincho"/>
          <w:lang w:eastAsia="ja-JP"/>
        </w:rPr>
        <w:t xml:space="preserve">indicator </w:t>
      </w:r>
      <w:r>
        <w:rPr>
          <w:rFonts w:eastAsia="MS Mincho" w:hint="eastAsia"/>
          <w:lang w:eastAsia="ja-JP"/>
        </w:rPr>
        <w:t>(Examples for further study are reference signal resource, port, reference signal sequence, beam)</w:t>
      </w:r>
    </w:p>
    <w:p w14:paraId="191DAE49" w14:textId="77777777" w:rsidR="005A2BB6" w:rsidRPr="003E184A" w:rsidRDefault="005A2BB6" w:rsidP="005A2BB6">
      <w:pPr>
        <w:numPr>
          <w:ilvl w:val="1"/>
          <w:numId w:val="19"/>
        </w:numPr>
        <w:spacing w:after="0"/>
        <w:rPr>
          <w:rFonts w:eastAsia="MS Mincho"/>
          <w:lang w:eastAsia="ja-JP"/>
        </w:rPr>
      </w:pPr>
      <w:r w:rsidRPr="003E184A">
        <w:rPr>
          <w:rFonts w:eastAsia="MS Mincho"/>
          <w:lang w:eastAsia="ja-JP"/>
        </w:rPr>
        <w:t>RI (rank indicator)</w:t>
      </w:r>
    </w:p>
    <w:p w14:paraId="22B3EF48" w14:textId="77777777" w:rsidR="005A2BB6" w:rsidRPr="003E184A" w:rsidRDefault="005A2BB6" w:rsidP="005A2BB6">
      <w:pPr>
        <w:numPr>
          <w:ilvl w:val="1"/>
          <w:numId w:val="19"/>
        </w:numPr>
        <w:spacing w:after="0"/>
        <w:rPr>
          <w:rFonts w:eastAsia="MS Mincho"/>
          <w:lang w:eastAsia="ja-JP"/>
        </w:rPr>
      </w:pPr>
      <w:r w:rsidRPr="003E184A">
        <w:rPr>
          <w:rFonts w:eastAsia="MS Mincho"/>
          <w:lang w:eastAsia="ja-JP"/>
        </w:rPr>
        <w:t>PMI (precoding matrix indicator)</w:t>
      </w:r>
    </w:p>
    <w:p w14:paraId="6BEF4F95" w14:textId="77777777" w:rsidR="005A2BB6" w:rsidRDefault="005A2BB6" w:rsidP="005A2BB6">
      <w:pPr>
        <w:numPr>
          <w:ilvl w:val="1"/>
          <w:numId w:val="19"/>
        </w:numPr>
        <w:spacing w:after="0"/>
        <w:rPr>
          <w:rFonts w:eastAsia="MS Mincho"/>
          <w:lang w:eastAsia="ja-JP"/>
        </w:rPr>
      </w:pPr>
      <w:r>
        <w:rPr>
          <w:rFonts w:eastAsia="MS Mincho" w:hint="eastAsia"/>
          <w:lang w:eastAsia="ja-JP"/>
        </w:rPr>
        <w:t>C</w:t>
      </w:r>
      <w:r>
        <w:rPr>
          <w:rFonts w:eastAsia="MS Mincho"/>
          <w:lang w:eastAsia="ja-JP"/>
        </w:rPr>
        <w:t xml:space="preserve">hannel quality </w:t>
      </w:r>
      <w:r>
        <w:rPr>
          <w:rFonts w:eastAsia="MS Mincho" w:hint="eastAsia"/>
          <w:lang w:eastAsia="ja-JP"/>
        </w:rPr>
        <w:t>feedback</w:t>
      </w:r>
    </w:p>
    <w:p w14:paraId="56CCEA55" w14:textId="77777777" w:rsidR="005A2BB6" w:rsidRDefault="005A2BB6" w:rsidP="005A2BB6">
      <w:pPr>
        <w:spacing w:after="0"/>
        <w:rPr>
          <w:rFonts w:eastAsia="MS Mincho"/>
          <w:lang w:eastAsia="ja-JP"/>
        </w:rPr>
      </w:pPr>
    </w:p>
    <w:p w14:paraId="0E46AB9A" w14:textId="77777777" w:rsidR="005A2BB6" w:rsidRPr="009B1350" w:rsidRDefault="005A2BB6" w:rsidP="005A2BB6">
      <w:pPr>
        <w:rPr>
          <w:rFonts w:eastAsia="MS Mincho"/>
          <w:lang w:eastAsia="ja-JP"/>
        </w:rPr>
      </w:pPr>
      <w:r w:rsidRPr="009B1350">
        <w:rPr>
          <w:rFonts w:eastAsia="MS Mincho"/>
          <w:highlight w:val="green"/>
          <w:lang w:eastAsia="ja-JP"/>
        </w:rPr>
        <w:t>Agreements</w:t>
      </w:r>
      <w:r w:rsidRPr="009B1350">
        <w:rPr>
          <w:rFonts w:eastAsia="MS Mincho"/>
          <w:lang w:eastAsia="ja-JP"/>
        </w:rPr>
        <w:t>:</w:t>
      </w:r>
    </w:p>
    <w:p w14:paraId="4831FBED" w14:textId="77777777" w:rsidR="005A2BB6" w:rsidRPr="009B1350" w:rsidRDefault="005A2BB6" w:rsidP="005A2BB6">
      <w:pPr>
        <w:numPr>
          <w:ilvl w:val="0"/>
          <w:numId w:val="20"/>
        </w:numPr>
        <w:spacing w:after="0"/>
        <w:rPr>
          <w:rFonts w:eastAsia="MS Mincho"/>
          <w:lang w:eastAsia="ja-JP"/>
        </w:rPr>
      </w:pPr>
      <w:r w:rsidRPr="009B1350">
        <w:rPr>
          <w:rFonts w:eastAsia="MS Mincho"/>
          <w:lang w:eastAsia="ja-JP"/>
        </w:rPr>
        <w:t xml:space="preserve">For NR, the CSI parameter CRI (CSI-RS Resource Indicator) is supported </w:t>
      </w:r>
    </w:p>
    <w:p w14:paraId="409A89CA" w14:textId="77777777" w:rsidR="005A2BB6" w:rsidRPr="009B1350" w:rsidRDefault="005A2BB6" w:rsidP="005A2BB6">
      <w:pPr>
        <w:numPr>
          <w:ilvl w:val="1"/>
          <w:numId w:val="20"/>
        </w:numPr>
        <w:spacing w:after="0"/>
        <w:rPr>
          <w:rFonts w:eastAsia="MS Mincho"/>
          <w:lang w:eastAsia="ja-JP"/>
        </w:rPr>
      </w:pPr>
      <w:r w:rsidRPr="009B1350">
        <w:rPr>
          <w:rFonts w:eastAsia="MS Mincho"/>
          <w:lang w:eastAsia="ja-JP"/>
        </w:rPr>
        <w:t>FFS the applicability to CSI acquisition/beam management</w:t>
      </w:r>
    </w:p>
    <w:p w14:paraId="03A4EA4C" w14:textId="77777777" w:rsidR="005A2BB6" w:rsidRPr="009D4CCE" w:rsidRDefault="005A2BB6" w:rsidP="005A2BB6">
      <w:pPr>
        <w:spacing w:after="0"/>
        <w:rPr>
          <w:rFonts w:eastAsia="MS Mincho"/>
          <w:lang w:eastAsia="ja-JP"/>
        </w:rPr>
      </w:pPr>
    </w:p>
    <w:p w14:paraId="68BD05E7" w14:textId="77777777" w:rsidR="005A2BB6" w:rsidRPr="004064B1" w:rsidRDefault="005A2BB6" w:rsidP="005A2BB6">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369853C6" w14:textId="77777777" w:rsidR="005A2BB6" w:rsidRPr="004064B1" w:rsidRDefault="005A2BB6" w:rsidP="005A2BB6">
      <w:pPr>
        <w:numPr>
          <w:ilvl w:val="0"/>
          <w:numId w:val="15"/>
        </w:numPr>
        <w:spacing w:after="0"/>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0CD29924" w14:textId="77777777" w:rsidR="005A2BB6" w:rsidRPr="004064B1" w:rsidRDefault="005A2BB6" w:rsidP="005A2BB6">
      <w:pPr>
        <w:numPr>
          <w:ilvl w:val="1"/>
          <w:numId w:val="15"/>
        </w:numPr>
        <w:spacing w:after="0"/>
        <w:rPr>
          <w:rFonts w:eastAsia="MS Mincho"/>
          <w:lang w:eastAsia="ja-JP"/>
        </w:rPr>
      </w:pPr>
      <w:r w:rsidRPr="004064B1">
        <w:rPr>
          <w:rFonts w:eastAsia="MS Mincho"/>
          <w:lang w:eastAsia="ja-JP"/>
        </w:rPr>
        <w:t>For slide 20, FFS whether or not support frequency-dependent parameterization and if so, the details</w:t>
      </w:r>
    </w:p>
    <w:p w14:paraId="0649B520" w14:textId="77777777" w:rsidR="005A2BB6" w:rsidRPr="004064B1" w:rsidRDefault="005A2BB6" w:rsidP="005A2BB6">
      <w:pPr>
        <w:numPr>
          <w:ilvl w:val="1"/>
          <w:numId w:val="15"/>
        </w:numPr>
        <w:spacing w:after="0"/>
        <w:rPr>
          <w:rFonts w:eastAsia="MS Mincho"/>
          <w:lang w:eastAsia="ja-JP"/>
        </w:rPr>
      </w:pPr>
      <w:r w:rsidRPr="004064B1">
        <w:rPr>
          <w:rFonts w:eastAsia="MS Mincho"/>
          <w:lang w:eastAsia="ja-JP"/>
        </w:rPr>
        <w:t>FFS whether or not to further enhance analog beamforming related operations especially for &gt;1 layers</w:t>
      </w:r>
    </w:p>
    <w:p w14:paraId="54B64532" w14:textId="77777777" w:rsidR="005A2BB6" w:rsidRPr="000D6A04" w:rsidRDefault="005A2BB6" w:rsidP="005A2BB6">
      <w:pPr>
        <w:rPr>
          <w:rFonts w:eastAsia="Microsoft YaHei"/>
          <w:bCs/>
        </w:rPr>
      </w:pPr>
      <w:r w:rsidRPr="000D6A04">
        <w:rPr>
          <w:rFonts w:eastAsia="Microsoft YaHei"/>
          <w:bCs/>
          <w:highlight w:val="green"/>
        </w:rPr>
        <w:t>Agreements</w:t>
      </w:r>
      <w:r w:rsidRPr="000D6A04">
        <w:rPr>
          <w:rFonts w:eastAsia="Microsoft YaHei"/>
          <w:bCs/>
        </w:rPr>
        <w:t>:</w:t>
      </w:r>
    </w:p>
    <w:p w14:paraId="6F896E52" w14:textId="77777777" w:rsidR="005A2BB6" w:rsidRPr="000D6A04" w:rsidRDefault="005A2BB6" w:rsidP="005A2BB6">
      <w:pPr>
        <w:numPr>
          <w:ilvl w:val="0"/>
          <w:numId w:val="18"/>
        </w:numPr>
        <w:spacing w:after="0"/>
        <w:rPr>
          <w:rFonts w:eastAsia="Microsoft YaHei"/>
        </w:rPr>
      </w:pPr>
      <w:r w:rsidRPr="000D6A04">
        <w:rPr>
          <w:rFonts w:eastAsia="Microsoft YaHei"/>
        </w:rPr>
        <w:t xml:space="preserve">At least for full channel reciprocity, support at least the following CSI acquisition scheme based on channel reciprocity in NR </w:t>
      </w:r>
    </w:p>
    <w:p w14:paraId="065A33DB" w14:textId="77777777" w:rsidR="005A2BB6" w:rsidRPr="000D6A04" w:rsidRDefault="005A2BB6" w:rsidP="005A2BB6">
      <w:pPr>
        <w:numPr>
          <w:ilvl w:val="1"/>
          <w:numId w:val="18"/>
        </w:numPr>
        <w:spacing w:after="0"/>
        <w:rPr>
          <w:rFonts w:eastAsia="Microsoft YaHei"/>
        </w:rPr>
      </w:pPr>
      <w:r w:rsidRPr="000D6A04">
        <w:rPr>
          <w:rFonts w:eastAsia="Microsoft YaHei"/>
        </w:rPr>
        <w:t>Non-PMI feedback</w:t>
      </w:r>
    </w:p>
    <w:p w14:paraId="4D8419F8" w14:textId="77777777" w:rsidR="005A2BB6" w:rsidRPr="009D4CCE" w:rsidRDefault="005A2BB6" w:rsidP="005A2BB6">
      <w:pPr>
        <w:numPr>
          <w:ilvl w:val="2"/>
          <w:numId w:val="18"/>
        </w:numPr>
        <w:spacing w:after="0"/>
        <w:rPr>
          <w:rFonts w:eastAsia="Microsoft YaHei"/>
        </w:rPr>
      </w:pPr>
      <w:r w:rsidRPr="000D6A04">
        <w:rPr>
          <w:rFonts w:eastAsia="Microsoft YaHei"/>
        </w:rPr>
        <w:t>CSI contains RI and CQI</w:t>
      </w:r>
    </w:p>
    <w:p w14:paraId="5FE52EE3" w14:textId="77777777" w:rsidR="005A2BB6" w:rsidRDefault="005A2BB6" w:rsidP="005A2BB6">
      <w:pPr>
        <w:rPr>
          <w:rFonts w:eastAsia="Microsoft YaHei"/>
        </w:rPr>
      </w:pPr>
      <w:r w:rsidRPr="009D4CCE">
        <w:rPr>
          <w:rFonts w:eastAsia="Microsoft YaHei"/>
          <w:bCs/>
          <w:highlight w:val="green"/>
        </w:rPr>
        <w:t>Agreements</w:t>
      </w:r>
      <w:r w:rsidRPr="009D4CCE">
        <w:rPr>
          <w:rFonts w:eastAsia="Microsoft YaHei"/>
          <w:bCs/>
        </w:rPr>
        <w:t>:</w:t>
      </w:r>
    </w:p>
    <w:p w14:paraId="7644949A" w14:textId="77777777" w:rsidR="005A2BB6" w:rsidRPr="00AB0C86" w:rsidRDefault="005A2BB6" w:rsidP="005A2BB6">
      <w:pPr>
        <w:numPr>
          <w:ilvl w:val="0"/>
          <w:numId w:val="18"/>
        </w:numPr>
        <w:spacing w:after="0"/>
        <w:rPr>
          <w:rFonts w:eastAsia="MS Mincho"/>
          <w:lang w:eastAsia="ja-JP"/>
        </w:rPr>
      </w:pPr>
      <w:r w:rsidRPr="00AB0C86">
        <w:rPr>
          <w:rFonts w:eastAsia="MS Mincho"/>
          <w:lang w:eastAsia="ja-JP"/>
        </w:rPr>
        <w:t>At least some combination(s) of the CSI parameters (e.g., CRI, RI, PMI, CQI, etc.) can be configured to be omitted from reporting within a CSI reporting setting</w:t>
      </w:r>
    </w:p>
    <w:p w14:paraId="4005C57E" w14:textId="77777777" w:rsidR="005A2BB6" w:rsidRPr="00AB0C86" w:rsidRDefault="005A2BB6" w:rsidP="005A2BB6">
      <w:pPr>
        <w:numPr>
          <w:ilvl w:val="1"/>
          <w:numId w:val="18"/>
        </w:numPr>
        <w:spacing w:after="0"/>
        <w:rPr>
          <w:rFonts w:eastAsia="MS Mincho"/>
          <w:lang w:eastAsia="ja-JP"/>
        </w:rPr>
      </w:pPr>
      <w:r w:rsidRPr="00AB0C86">
        <w:rPr>
          <w:rFonts w:eastAsia="MS Mincho"/>
          <w:lang w:eastAsia="ja-JP"/>
        </w:rPr>
        <w:t xml:space="preserve">FFS details </w:t>
      </w:r>
    </w:p>
    <w:p w14:paraId="50F5FA64" w14:textId="77777777" w:rsidR="005A2BB6" w:rsidRPr="004064B1" w:rsidRDefault="005A2BB6" w:rsidP="005A2BB6">
      <w:pPr>
        <w:numPr>
          <w:ilvl w:val="0"/>
          <w:numId w:val="15"/>
        </w:numPr>
        <w:spacing w:after="0"/>
        <w:rPr>
          <w:rFonts w:eastAsia="MS Mincho"/>
          <w:lang w:eastAsia="ja-JP"/>
        </w:rPr>
      </w:pPr>
    </w:p>
    <w:p w14:paraId="0172B5DA" w14:textId="29582046" w:rsidR="00EC745B" w:rsidRPr="00EC745B" w:rsidRDefault="00EC745B" w:rsidP="00EC745B">
      <w:r>
        <w:lastRenderedPageBreak/>
        <w:t>In our companion contribution [1], we discuss our view on the general principles of CSI reporting for NR. In this contribution, we discuss how the codebook parameters can</w:t>
      </w:r>
      <w:r w:rsidR="005372A2">
        <w:t xml:space="preserve"> be</w:t>
      </w:r>
      <w:r>
        <w:t xml:space="preserve"> map</w:t>
      </w:r>
      <w:r w:rsidR="005372A2">
        <w:t>ped</w:t>
      </w:r>
      <w:r>
        <w:t xml:space="preserve"> to CSI parameters a</w:t>
      </w:r>
      <w:r w:rsidR="00BA4227">
        <w:t xml:space="preserve">nd how </w:t>
      </w:r>
      <w:r w:rsidR="00A20BA2">
        <w:t>CSI parameters can be encoded for CSI reporting</w:t>
      </w:r>
      <w:r w:rsidR="00934F4C">
        <w:t>.</w:t>
      </w:r>
    </w:p>
    <w:p w14:paraId="3CB8F8BC" w14:textId="1BAAD6F4" w:rsidR="004000E8" w:rsidRDefault="00A20BA2" w:rsidP="00CE0424">
      <w:pPr>
        <w:pStyle w:val="Heading1"/>
      </w:pPr>
      <w:r>
        <w:t>Type I codebook parameters</w:t>
      </w:r>
    </w:p>
    <w:p w14:paraId="655BA975" w14:textId="5C74A772" w:rsidR="00A20BA2" w:rsidRDefault="00A20BA2" w:rsidP="00A20BA2">
      <w:r>
        <w:t xml:space="preserve">Type I single-panel codebooks are similar to the LTE Rel-14 codebooks and the codebook parameters can be defined in a similar fashion, but perhaps with some slight differences. That is, the PMI consists of a first PMI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and a second PMI index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where the second PMI index can be reported per subband. The first PMI index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is in turn comprised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e>
        </m:d>
      </m:oMath>
      <w:r>
        <w:t>, which can be seen as indicating a DFT beam in the first and second dimension.</w:t>
      </w:r>
      <w:r w:rsidR="00BC3722">
        <w:t xml:space="preserve"> For rank-1, it is straightforward to map the codebook indices to precoders. For rank-2 and ranks 3&amp;4 (for</w:t>
      </w:r>
      <w:r w:rsidR="00934F4C">
        <w:t xml:space="preserve"> the number of antenna ports</w:t>
      </w:r>
      <w:r w:rsidR="00BC3722">
        <w:t xml:space="preserve"> </w:t>
      </w:r>
      <m:oMath>
        <m:r>
          <w:rPr>
            <w:rFonts w:ascii="Cambria Math" w:hAnsi="Cambria Math"/>
          </w:rPr>
          <m:t>P&lt;16</m:t>
        </m:r>
      </m:oMath>
      <w:r w:rsidR="00BC3722">
        <w:t>)</w:t>
      </w:r>
      <w:r w:rsidR="00934F4C">
        <w:t xml:space="preserve">, an orthogonal beam offset applied to some of the layers can be selected on a wideband basis, requiring an indication using at most 2 bits (depending on the port layout). This indication could either be separately encoded as its own sub-PMI index </w:t>
      </w:r>
      <m:oMath>
        <m:r>
          <w:rPr>
            <w:rFonts w:ascii="Cambria Math" w:hAnsi="Cambria Math"/>
          </w:rPr>
          <m:t>m</m:t>
        </m:r>
      </m:oMath>
      <w:r w:rsidR="00934F4C">
        <w:t xml:space="preserve">, so that </w:t>
      </w:r>
      <m:oMath>
        <m:sSub>
          <m:sSubPr>
            <m:ctrlPr>
              <w:rPr>
                <w:rFonts w:ascii="Cambria Math" w:hAnsi="Cambria Math"/>
                <w:i/>
                <w:lang w:val="sv-SE"/>
              </w:rPr>
            </m:ctrlPr>
          </m:sSubPr>
          <m:e>
            <m:r>
              <w:rPr>
                <w:rFonts w:ascii="Cambria Math" w:hAnsi="Cambria Math"/>
              </w:rPr>
              <m:t>i</m:t>
            </m:r>
            <m:ctrlPr>
              <w:rPr>
                <w:rFonts w:ascii="Cambria Math" w:hAnsi="Cambria Math"/>
                <w:i/>
              </w:rPr>
            </m:ctrlPr>
          </m:e>
          <m:sub>
            <m:r>
              <w:rPr>
                <w:rFonts w:ascii="Cambria Math" w:hAnsi="Cambria Math"/>
              </w:rPr>
              <m:t>1</m:t>
            </m:r>
          </m:sub>
        </m:sSub>
        <m:r>
          <w:rPr>
            <w:rFonts w:ascii="Cambria Math" w:hAnsi="Cambria Math"/>
          </w:rPr>
          <m:t xml:space="preserve"> </m:t>
        </m:r>
      </m:oMath>
      <w:r w:rsidR="00934F4C" w:rsidRPr="00934F4C">
        <w:t xml:space="preserve">corresponds to the triplet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m:t>
            </m:r>
          </m:e>
        </m:d>
      </m:oMath>
      <w:r w:rsidR="00934F4C">
        <w:t xml:space="preserve">, or, the offset could be jointly encoded with the first DFT beam index in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934F4C">
        <w:t xml:space="preserve">, for example as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=4</m:t>
        </m:r>
        <m:sSubSup>
          <m:sSubSupPr>
            <m:ctrlPr>
              <w:rPr>
                <w:rFonts w:ascii="Cambria Math" w:hAnsi="Cambria Math"/>
                <w:i/>
              </w:rPr>
            </m:ctrlPr>
          </m:sSubSupPr>
          <m:e>
            <m:r>
              <w:rPr>
                <w:rFonts w:ascii="Cambria Math" w:hAnsi="Cambria Math"/>
              </w:rPr>
              <m:t>i</m:t>
            </m:r>
          </m:e>
          <m:sub>
            <m:r>
              <w:rPr>
                <w:rFonts w:ascii="Cambria Math" w:hAnsi="Cambria Math"/>
              </w:rPr>
              <m:t>1,1</m:t>
            </m:r>
          </m:sub>
          <m:sup>
            <m:r>
              <w:rPr>
                <w:rFonts w:ascii="Cambria Math" w:hAnsi="Cambria Math"/>
              </w:rPr>
              <m:t>'</m:t>
            </m:r>
          </m:sup>
        </m:sSubSup>
        <m:r>
          <w:rPr>
            <w:rFonts w:ascii="Cambria Math" w:hAnsi="Cambria Math"/>
          </w:rPr>
          <m:t>+m</m:t>
        </m:r>
      </m:oMath>
      <w:r w:rsidR="00934F4C">
        <w:t xml:space="preserve">, following the LTE approach. </w:t>
      </w:r>
      <w:r w:rsidR="00517883">
        <w:t>Similarly,</w:t>
      </w:r>
      <w:r w:rsidR="00934F4C">
        <w:t xml:space="preserve"> for the rank 3&amp;4 codebooks </w:t>
      </w:r>
      <w:r w:rsidR="00517883">
        <w:t xml:space="preserve">for </w:t>
      </w:r>
      <m:oMath>
        <m:r>
          <w:rPr>
            <w:rFonts w:ascii="Cambria Math" w:hAnsi="Cambria Math"/>
          </w:rPr>
          <m:t>≥16</m:t>
        </m:r>
      </m:oMath>
      <w:r w:rsidR="00517883">
        <w:t xml:space="preserve"> antenna ports, an inter-group cophasing factor </w:t>
      </w:r>
      <m:oMath>
        <m:r>
          <m:rPr>
            <m:sty m:val="p"/>
          </m:rPr>
          <w:rPr>
            <w:rFonts w:ascii="Cambria Math" w:eastAsiaTheme="minorEastAsia" w:hAnsi="Cambria Math"/>
            <w:color w:val="080808"/>
            <w:sz w:val="40"/>
            <w:szCs w:val="40"/>
          </w:rPr>
          <w:br/>
        </m:r>
        <m:sSub>
          <m:sSubPr>
            <m:ctrlPr>
              <w:rPr>
                <w:rFonts w:ascii="Cambria Math" w:hAnsi="Cambria Math"/>
                <w:i/>
                <w:iCs/>
              </w:rPr>
            </m:ctrlPr>
          </m:sSubPr>
          <m:e>
            <m:r>
              <w:rPr>
                <w:rFonts w:ascii="Cambria Math" w:hAnsi="Cambria Math"/>
              </w:rPr>
              <m:t>ψ</m:t>
            </m:r>
          </m:e>
          <m:sub>
            <m:r>
              <w:rPr>
                <w:rFonts w:ascii="Cambria Math" w:hAnsi="Cambria Math"/>
              </w:rPr>
              <m:t>m</m:t>
            </m:r>
          </m:sub>
        </m:sSub>
      </m:oMath>
      <w:r w:rsidR="00517883" w:rsidRPr="00517883">
        <w:t xml:space="preserve"> </w:t>
      </w:r>
      <w:r w:rsidR="00517883">
        <w:t xml:space="preserve"> is selected on a WB basis, also using 2 bits. This again could be a separate sub-PMI index comprised in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517883">
        <w:t xml:space="preserve"> or jointly encoded with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517883">
        <w:t>.</w:t>
      </w:r>
    </w:p>
    <w:p w14:paraId="58DDE9BB" w14:textId="665EAFF4" w:rsidR="00517883" w:rsidRDefault="00517883" w:rsidP="00A20BA2">
      <w:r>
        <w:t xml:space="preserve">The Type I multi-panel codebooks in turn contain inter-panel cophasing factors, which can be either wideband or subband. The subband inter-panel co-phasing factors are naturally jointly encoded in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together with the polarization co-phasing factors. The w</w:t>
      </w:r>
      <w:proofErr w:type="spellStart"/>
      <w:r>
        <w:t>ideband</w:t>
      </w:r>
      <w:proofErr w:type="spellEnd"/>
      <w:r>
        <w:t xml:space="preserve"> inter-panel cophasing factors </w:t>
      </w:r>
      <w:r w:rsidR="00AC4DA8">
        <w:t xml:space="preserve">could on the other hand be encoded as a separate sub-PMI index, in this case,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AC4DA8">
        <w:t xml:space="preserve"> can be represented by </w:t>
      </w:r>
      <w:r w:rsidR="00AC4DA8" w:rsidRPr="00934F4C">
        <w:t xml:space="preserve">the triplet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m:t>
            </m:r>
          </m:e>
        </m:d>
      </m:oMath>
      <w:r w:rsidR="00AC4DA8">
        <w:t xml:space="preserve">, where </w:t>
      </w: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oMath>
      <w:r w:rsidR="00AC4DA8">
        <w:t xml:space="preserve"> are the same as the corresponding single-panel L=1 codebook indices (as the SP codebook is applied on each panel) and </w:t>
      </w:r>
      <m:oMath>
        <m:r>
          <w:rPr>
            <w:rFonts w:ascii="Cambria Math" w:hAnsi="Cambria Math"/>
          </w:rPr>
          <m:t>m</m:t>
        </m:r>
      </m:oMath>
      <w:r w:rsidR="00AC4DA8">
        <w:t xml:space="preserve"> corresponds to the WB inter-panel cophasing factor.</w:t>
      </w:r>
      <w:r w:rsidR="00CB772F">
        <w:t xml:space="preserve"> </w:t>
      </w:r>
    </w:p>
    <w:p w14:paraId="59911934" w14:textId="02EF62AA" w:rsidR="00CB772F" w:rsidRDefault="00CB772F" w:rsidP="00A20BA2">
      <w:r>
        <w:t xml:space="preserve">In order to achieve some similarity between single- and multi-panel PMI indices, we propose </w:t>
      </w:r>
      <w:r w:rsidR="00B85731">
        <w:t>the following.</w:t>
      </w:r>
      <w:r>
        <w:t xml:space="preserve"> </w:t>
      </w:r>
    </w:p>
    <w:p w14:paraId="07A8D019" w14:textId="4CFD2EBA" w:rsidR="00CA16E9" w:rsidRDefault="00CA16E9" w:rsidP="00CA16E9">
      <w:pPr>
        <w:pStyle w:val="Proposal"/>
      </w:pPr>
      <w:bookmarkStart w:id="0" w:name="_Toc485230110"/>
      <w:bookmarkStart w:id="1" w:name="_Toc485291708"/>
      <w:bookmarkStart w:id="2" w:name="_Toc485416934"/>
      <w:bookmarkStart w:id="3" w:name="_Toc490135163"/>
      <w:bookmarkStart w:id="4" w:name="_Toc490220171"/>
      <w:r>
        <w:t>For Type I CSI reporting, PMI consist of</w:t>
      </w:r>
      <w:bookmarkEnd w:id="0"/>
      <w:bookmarkEnd w:id="1"/>
      <w:bookmarkEnd w:id="2"/>
      <w:bookmarkEnd w:id="3"/>
      <w:bookmarkEnd w:id="4"/>
    </w:p>
    <w:p w14:paraId="391D8ACA" w14:textId="6D9BEBA3" w:rsidR="00CA16E9" w:rsidRDefault="00CA16E9" w:rsidP="00CA16E9">
      <w:pPr>
        <w:pStyle w:val="Proposal"/>
        <w:numPr>
          <w:ilvl w:val="1"/>
          <w:numId w:val="3"/>
        </w:numPr>
      </w:pPr>
      <w:bookmarkStart w:id="5" w:name="_Toc485291709"/>
      <w:bookmarkStart w:id="6" w:name="_Toc485416935"/>
      <w:bookmarkStart w:id="7" w:name="_Toc490135164"/>
      <w:bookmarkStart w:id="8" w:name="_Toc490220172"/>
      <w:r>
        <w:t>For single-panel codebooks ranks 1,5-8:</w:t>
      </w:r>
      <w:bookmarkEnd w:id="5"/>
      <w:bookmarkEnd w:id="6"/>
      <w:bookmarkEnd w:id="7"/>
      <w:bookmarkEnd w:id="8"/>
    </w:p>
    <w:p w14:paraId="2E519E71" w14:textId="4C2ED38B" w:rsidR="00CA16E9" w:rsidRDefault="00CA16E9" w:rsidP="00CA16E9">
      <w:pPr>
        <w:pStyle w:val="Proposal"/>
        <w:numPr>
          <w:ilvl w:val="2"/>
          <w:numId w:val="3"/>
        </w:numPr>
      </w:pPr>
      <w:bookmarkStart w:id="9" w:name="_Toc485291710"/>
      <w:bookmarkStart w:id="10" w:name="_Toc485416936"/>
      <w:bookmarkStart w:id="11" w:name="_Toc490135165"/>
      <w:bookmarkStart w:id="12" w:name="_Toc490220173"/>
      <w:r>
        <w:t xml:space="preserve">Wideband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oMath>
      <w:r>
        <w:t xml:space="preserve"> index comprising </w:t>
      </w:r>
      <w:r w:rsidRPr="00934F4C">
        <w:t xml:space="preserve">the </w:t>
      </w:r>
      <w:r>
        <w:t>pair</w:t>
      </w:r>
      <w:r w:rsidRPr="00934F4C">
        <w:t xml:space="preserv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1,2</m:t>
                </m:r>
              </m:sub>
            </m:sSub>
          </m:e>
        </m:d>
      </m:oMath>
      <w:bookmarkEnd w:id="9"/>
      <w:bookmarkEnd w:id="10"/>
      <w:bookmarkEnd w:id="11"/>
      <w:bookmarkEnd w:id="12"/>
    </w:p>
    <w:p w14:paraId="79F2D3D4" w14:textId="0DBC16A8" w:rsidR="00CA16E9" w:rsidRDefault="00CA16E9" w:rsidP="00CA16E9">
      <w:pPr>
        <w:pStyle w:val="Proposal"/>
        <w:numPr>
          <w:ilvl w:val="2"/>
          <w:numId w:val="3"/>
        </w:numPr>
      </w:pPr>
      <w:bookmarkStart w:id="13" w:name="_Toc485291711"/>
      <w:bookmarkStart w:id="14" w:name="_Toc485416937"/>
      <w:bookmarkStart w:id="15" w:name="_Toc490135166"/>
      <w:bookmarkStart w:id="16" w:name="_Toc490220174"/>
      <w:r>
        <w:t xml:space="preserve">Subband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oMath>
      <w:r w:rsidRPr="00CA16E9">
        <w:rPr>
          <w:b w:val="0"/>
        </w:rPr>
        <w:t xml:space="preserve"> </w:t>
      </w:r>
      <w:r>
        <w:t>index representing polarization/panel/group cophasing and/or SB beam selection</w:t>
      </w:r>
      <w:bookmarkEnd w:id="13"/>
      <w:bookmarkEnd w:id="14"/>
      <w:bookmarkEnd w:id="15"/>
      <w:bookmarkEnd w:id="16"/>
    </w:p>
    <w:p w14:paraId="1A175C66" w14:textId="433F877D" w:rsidR="00CA16E9" w:rsidRDefault="00CA16E9" w:rsidP="00CA16E9">
      <w:pPr>
        <w:pStyle w:val="Proposal"/>
        <w:numPr>
          <w:ilvl w:val="1"/>
          <w:numId w:val="3"/>
        </w:numPr>
      </w:pPr>
      <w:bookmarkStart w:id="17" w:name="_Toc485230111"/>
      <w:bookmarkStart w:id="18" w:name="_Toc485291712"/>
      <w:bookmarkStart w:id="19" w:name="_Toc485416938"/>
      <w:bookmarkStart w:id="20" w:name="_Toc490135167"/>
      <w:bookmarkStart w:id="21" w:name="_Toc490220175"/>
      <w:bookmarkEnd w:id="17"/>
      <w:r>
        <w:t>For single-panel codebooks ranks 2-4 and multi-panel codebooks:</w:t>
      </w:r>
      <w:bookmarkEnd w:id="18"/>
      <w:bookmarkEnd w:id="19"/>
      <w:bookmarkEnd w:id="20"/>
      <w:bookmarkEnd w:id="21"/>
    </w:p>
    <w:p w14:paraId="0A660DD5" w14:textId="59C58B0D" w:rsidR="00CA16E9" w:rsidRDefault="00CA16E9" w:rsidP="00CA16E9">
      <w:pPr>
        <w:pStyle w:val="Proposal"/>
        <w:numPr>
          <w:ilvl w:val="2"/>
          <w:numId w:val="3"/>
        </w:numPr>
      </w:pPr>
      <w:bookmarkStart w:id="22" w:name="_Toc485291713"/>
      <w:bookmarkStart w:id="23" w:name="_Toc485416939"/>
      <w:bookmarkStart w:id="24" w:name="_Toc490135168"/>
      <w:bookmarkStart w:id="25" w:name="_Toc490220176"/>
      <w:r>
        <w:t xml:space="preserve">Wideband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oMath>
      <w:r>
        <w:t xml:space="preserve"> index comprising </w:t>
      </w:r>
      <w:r w:rsidRPr="00934F4C">
        <w:t xml:space="preserve">the triplet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1,2</m:t>
                </m:r>
              </m:sub>
            </m:sSub>
            <m:r>
              <m:rPr>
                <m:sty m:val="bi"/>
              </m:rPr>
              <w:rPr>
                <w:rFonts w:ascii="Cambria Math" w:hAnsi="Cambria Math"/>
              </w:rPr>
              <m:t>,m</m:t>
            </m:r>
          </m:e>
        </m:d>
      </m:oMath>
      <w:r>
        <w:t xml:space="preserve">, where </w:t>
      </w:r>
      <m:oMath>
        <m:r>
          <m:rPr>
            <m:sty m:val="bi"/>
          </m:rPr>
          <w:rPr>
            <w:rFonts w:ascii="Cambria Math" w:hAnsi="Cambria Math"/>
          </w:rPr>
          <m:t>m</m:t>
        </m:r>
      </m:oMath>
      <w:r>
        <w:rPr>
          <w:b w:val="0"/>
        </w:rPr>
        <w:t xml:space="preserve"> </w:t>
      </w:r>
      <w:r>
        <w:t>represents inter-panel/group cophasing or orthogonal beam offset</w:t>
      </w:r>
      <w:bookmarkEnd w:id="22"/>
      <w:bookmarkEnd w:id="23"/>
      <w:bookmarkEnd w:id="24"/>
      <w:bookmarkEnd w:id="25"/>
    </w:p>
    <w:p w14:paraId="0A746843" w14:textId="260946D8" w:rsidR="00CA16E9" w:rsidRDefault="00CA16E9" w:rsidP="00CA16E9">
      <w:pPr>
        <w:pStyle w:val="Proposal"/>
        <w:numPr>
          <w:ilvl w:val="2"/>
          <w:numId w:val="3"/>
        </w:numPr>
      </w:pPr>
      <w:bookmarkStart w:id="26" w:name="_Toc485291714"/>
      <w:bookmarkStart w:id="27" w:name="_Toc485416940"/>
      <w:bookmarkStart w:id="28" w:name="_Toc490135169"/>
      <w:bookmarkStart w:id="29" w:name="_Toc490220177"/>
      <w:r>
        <w:t xml:space="preserve">Subband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2</m:t>
            </m:r>
          </m:sub>
        </m:sSub>
      </m:oMath>
      <w:r>
        <w:rPr>
          <w:b w:val="0"/>
        </w:rPr>
        <w:t xml:space="preserve"> </w:t>
      </w:r>
      <w:r>
        <w:t>index representing polarization/panel/group cophasing and/or SB beam selection</w:t>
      </w:r>
      <w:bookmarkEnd w:id="26"/>
      <w:bookmarkEnd w:id="27"/>
      <w:bookmarkEnd w:id="28"/>
      <w:bookmarkEnd w:id="29"/>
    </w:p>
    <w:p w14:paraId="4CEF8437" w14:textId="77777777" w:rsidR="00CA16E9" w:rsidRDefault="00CA16E9" w:rsidP="00CA16E9">
      <w:pPr>
        <w:pStyle w:val="Proposal"/>
        <w:numPr>
          <w:ilvl w:val="0"/>
          <w:numId w:val="0"/>
        </w:numPr>
        <w:ind w:left="2160"/>
      </w:pPr>
    </w:p>
    <w:p w14:paraId="01D6478B" w14:textId="77777777" w:rsidR="00B85731" w:rsidRDefault="00B85731" w:rsidP="00CA16E9">
      <w:pPr>
        <w:pStyle w:val="Proposal"/>
        <w:numPr>
          <w:ilvl w:val="0"/>
          <w:numId w:val="0"/>
        </w:numPr>
        <w:ind w:left="1701"/>
      </w:pPr>
    </w:p>
    <w:p w14:paraId="6054389E" w14:textId="3E7B0AF1" w:rsidR="00CA16E9" w:rsidRDefault="00B85731" w:rsidP="00B85731">
      <w:pPr>
        <w:pStyle w:val="Heading1"/>
      </w:pPr>
      <w:r>
        <w:t>Type II codebook parameters</w:t>
      </w:r>
    </w:p>
    <w:p w14:paraId="115F95CC" w14:textId="3597A9B1" w:rsidR="008E6067" w:rsidRDefault="008E6067" w:rsidP="008E6067">
      <w:r>
        <w:t>First, the CSI parameters for Type II CSI need to be clarified as only PMI has so far been agreed. In our view, CRI reporting is not needed for Type II and thus only CQI, PMI and RI need to be reported.</w:t>
      </w:r>
    </w:p>
    <w:p w14:paraId="0C96F0A4" w14:textId="45CFFFD0" w:rsidR="008E6067" w:rsidRPr="008E6067" w:rsidRDefault="008E6067" w:rsidP="008E6067">
      <w:pPr>
        <w:pStyle w:val="Proposal"/>
      </w:pPr>
      <w:bookmarkStart w:id="30" w:name="_Toc485291715"/>
      <w:bookmarkStart w:id="31" w:name="_Toc485416941"/>
      <w:bookmarkStart w:id="32" w:name="_Toc490135170"/>
      <w:bookmarkStart w:id="33" w:name="_Toc490220178"/>
      <w:r>
        <w:t>Type II CSI parameters consist of CQI, PMI and RI</w:t>
      </w:r>
      <w:bookmarkEnd w:id="30"/>
      <w:bookmarkEnd w:id="31"/>
      <w:bookmarkEnd w:id="32"/>
      <w:bookmarkEnd w:id="33"/>
    </w:p>
    <w:p w14:paraId="388F1699" w14:textId="3946CF79" w:rsidR="00405D13" w:rsidRDefault="00B85731" w:rsidP="00B85731">
      <w:r>
        <w:t xml:space="preserve">For Type II CSI, additional PMI indices need to be defined. </w:t>
      </w:r>
      <w:r w:rsidR="009555F2">
        <w:t xml:space="preserve">The wideband part of the PMI report consists of beam selection and WB amplitude. The beam selection is most efficiently expressed as </w:t>
      </w:r>
    </w:p>
    <w:p w14:paraId="4D0C2B95" w14:textId="77777777" w:rsidR="00405D13" w:rsidRDefault="009555F2" w:rsidP="00405D13">
      <w:pPr>
        <w:pStyle w:val="ListParagraph"/>
        <w:numPr>
          <w:ilvl w:val="0"/>
          <w:numId w:val="16"/>
        </w:numPr>
      </w:pPr>
      <w:r>
        <w:t xml:space="preserve">a set of rotation factors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and </w:t>
      </w:r>
    </w:p>
    <w:p w14:paraId="035C18FF" w14:textId="77777777" w:rsidR="005E4541" w:rsidRDefault="005E4541" w:rsidP="003A0E41">
      <w:pPr>
        <w:pStyle w:val="ListParagraph"/>
        <w:numPr>
          <w:ilvl w:val="0"/>
          <w:numId w:val="16"/>
        </w:numPr>
      </w:pPr>
      <w:r>
        <w:t>a</w:t>
      </w:r>
      <w:r w:rsidR="00405D13">
        <w:t xml:space="preserve"> </w:t>
      </w:r>
      <w:r>
        <w:t xml:space="preserve">selection of </w:t>
      </w:r>
      <m:oMath>
        <m:r>
          <w:rPr>
            <w:rFonts w:ascii="Cambria Math" w:hAnsi="Cambria Math"/>
          </w:rPr>
          <m:t>L</m:t>
        </m:r>
      </m:oMath>
      <w:r>
        <w:t xml:space="preserve"> orthogonal beams</w:t>
      </w:r>
    </w:p>
    <w:p w14:paraId="1F2B2B8D" w14:textId="20722D9C" w:rsidR="003A0E41" w:rsidRPr="00557CFB" w:rsidRDefault="005E4541" w:rsidP="005E4541">
      <w:pPr>
        <w:pStyle w:val="ListParagraph"/>
        <w:numPr>
          <w:ilvl w:val="1"/>
          <w:numId w:val="16"/>
        </w:numPr>
      </w:pPr>
      <w:r>
        <w:t xml:space="preserve">which may be encoded as a combinatorial index </w:t>
      </w:r>
      <m:oMath>
        <m:r>
          <w:rPr>
            <w:rFonts w:ascii="Cambria Math" w:hAnsi="Cambria Math"/>
          </w:rPr>
          <m:t>r=</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d>
              <m:dPr>
                <m:begChr m:val="⟨"/>
                <m:endChr m:val="⟩"/>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num>
                  <m:den>
                    <m:r>
                      <w:rPr>
                        <w:rFonts w:ascii="Cambria Math" w:hAnsi="Cambria Math"/>
                      </w:rPr>
                      <m:t>L-i</m:t>
                    </m:r>
                  </m:den>
                </m:f>
              </m:e>
            </m:d>
          </m:e>
        </m:nary>
      </m:oMath>
      <w:r>
        <w:t xml:space="preserve"> where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t xml:space="preserve"> are (sorted) orthogonal beam indices</w:t>
      </w:r>
      <w:r w:rsidR="00557CFB">
        <w:t xml:space="preserve"> (where the corresponding oversampled DFT beam indices </w:t>
      </w:r>
      <m:oMath>
        <m:sSubSup>
          <m:sSubSupPr>
            <m:ctrlPr>
              <w:rPr>
                <w:rFonts w:ascii="Cambria Math" w:hAnsi="Cambria Math"/>
                <w:i/>
              </w:rPr>
            </m:ctrlPr>
          </m:sSubSupPr>
          <m:e>
            <m:r>
              <w:rPr>
                <w:rFonts w:ascii="Cambria Math" w:hAnsi="Cambria Math"/>
              </w:rPr>
              <m:t>k</m:t>
            </m:r>
          </m:e>
          <m:sub>
            <m:r>
              <w:rPr>
                <w:rFonts w:ascii="Cambria Math" w:hAnsi="Cambria Math"/>
              </w:rPr>
              <m:t>j</m:t>
            </m:r>
          </m:sub>
          <m:sup>
            <m:r>
              <w:rPr>
                <w:rFonts w:ascii="Cambria Math" w:hAnsi="Cambria Math"/>
              </w:rPr>
              <m:t>(i)</m:t>
            </m:r>
          </m:sup>
        </m:sSubSup>
        <m:r>
          <w:rPr>
            <w:rFonts w:ascii="Cambria Math" w:hAnsi="Cambria Math"/>
          </w:rPr>
          <m:t>=4</m:t>
        </m:r>
        <m:sSubSup>
          <m:sSubSupPr>
            <m:ctrlPr>
              <w:rPr>
                <w:rFonts w:ascii="Cambria Math" w:hAnsi="Cambria Math"/>
                <w:i/>
              </w:rPr>
            </m:ctrlPr>
          </m:sSubSupPr>
          <m:e>
            <m:r>
              <w:rPr>
                <w:rFonts w:ascii="Cambria Math" w:hAnsi="Cambria Math"/>
              </w:rPr>
              <m:t>n</m:t>
            </m:r>
          </m:e>
          <m:sub>
            <m:r>
              <w:rPr>
                <w:rFonts w:ascii="Cambria Math" w:hAnsi="Cambria Math"/>
              </w:rPr>
              <m:t>j</m:t>
            </m:r>
          </m:sub>
          <m:sup>
            <m:r>
              <w:rPr>
                <w:rFonts w:ascii="Cambria Math" w:hAnsi="Cambria Math"/>
              </w:rPr>
              <m:t>(i)</m:t>
            </m:r>
          </m:sup>
        </m:sSub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j</m:t>
            </m:r>
          </m:sub>
        </m:sSub>
        <m:r>
          <w:rPr>
            <w:rFonts w:ascii="Cambria Math" w:hAnsi="Cambria Math"/>
          </w:rPr>
          <m:t>,j=1,2</m:t>
        </m:r>
      </m:oMath>
      <w:r w:rsidR="00557CFB">
        <w:t xml:space="preserve">) </w:t>
      </w:r>
      <w:r>
        <w:t xml:space="preserve"> and </w:t>
      </w:r>
      <w:r>
        <w:rPr>
          <w:rFonts w:ascii="Times New Roman" w:eastAsia="Times New Roman" w:hAnsi="Times New Roman"/>
          <w:position w:val="-40"/>
          <w:szCs w:val="20"/>
          <w:lang w:eastAsia="en-GB"/>
        </w:rPr>
        <w:object w:dxaOrig="1620" w:dyaOrig="900" w14:anchorId="2339C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44.95pt" o:ole="">
            <v:imagedata r:id="rId9" o:title=""/>
          </v:shape>
          <o:OLEObject Type="Embed" ProgID="Equation.3" ShapeID="_x0000_i1025" DrawAspect="Content" ObjectID="_1563990004" r:id="rId10"/>
        </w:object>
      </w:r>
      <w:r>
        <w:rPr>
          <w:rFonts w:ascii="Times New Roman" w:eastAsia="Times New Roman" w:hAnsi="Times New Roman"/>
          <w:szCs w:val="20"/>
          <w:lang w:eastAsia="en-GB"/>
        </w:rPr>
        <w:t xml:space="preserve"> is the extended binomial coefficient</w:t>
      </w:r>
    </w:p>
    <w:p w14:paraId="660AEC9E" w14:textId="3B15DAAF" w:rsidR="00E12800" w:rsidRDefault="00E12800" w:rsidP="00557CFB">
      <w:pPr>
        <w:rPr>
          <w:rFonts w:eastAsia="SimSun"/>
        </w:rPr>
      </w:pPr>
      <w:r>
        <w:rPr>
          <w:rFonts w:eastAsia="SimSun"/>
        </w:rPr>
        <w:t xml:space="preserve">The beam selection indication can thus be encoded in a first set of </w:t>
      </w:r>
      <w:r w:rsidR="00100B3A">
        <w:rPr>
          <w:rFonts w:eastAsia="SimSun"/>
        </w:rPr>
        <w:t>PMI</w:t>
      </w:r>
      <w:r>
        <w:rPr>
          <w:rFonts w:eastAsia="SimSun"/>
        </w:rPr>
        <w:t xml:space="preserve"> parameters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consisting of the indices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2</m:t>
            </m:r>
          </m:sub>
        </m:sSub>
        <m:r>
          <w:rPr>
            <w:rFonts w:ascii="Cambria Math" w:eastAsia="SimSun" w:hAnsi="Cambria Math"/>
          </w:rPr>
          <m:t>,r}</m:t>
        </m:r>
      </m:oMath>
      <w:r>
        <w:rPr>
          <w:rFonts w:eastAsia="SimSun"/>
        </w:rPr>
        <w:t>.</w:t>
      </w:r>
    </w:p>
    <w:p w14:paraId="61605FC3" w14:textId="21305098" w:rsidR="00557CFB" w:rsidRDefault="00557CFB" w:rsidP="00557CFB">
      <w:pPr>
        <w:rPr>
          <w:rFonts w:eastAsia="SimSun"/>
        </w:rPr>
      </w:pPr>
      <w:r>
        <w:rPr>
          <w:rFonts w:eastAsia="SimSun"/>
        </w:rPr>
        <w:t>The w</w:t>
      </w:r>
      <w:r w:rsidR="00E12800">
        <w:rPr>
          <w:rFonts w:eastAsia="SimSun"/>
        </w:rPr>
        <w:t xml:space="preserve">ideband amplitude needs to be encoded </w:t>
      </w:r>
      <w:r w:rsidR="00100B3A">
        <w:rPr>
          <w:rFonts w:eastAsia="SimSun"/>
        </w:rPr>
        <w:t xml:space="preserve">separately per layer as the WB power of a second layer is not present if RI=1 and consists of  </w:t>
      </w:r>
      <m:oMath>
        <m:r>
          <w:rPr>
            <w:rFonts w:ascii="Cambria Math" w:eastAsia="SimSun" w:hAnsi="Cambria Math"/>
          </w:rPr>
          <m:t>2L-1</m:t>
        </m:r>
      </m:oMath>
      <w:r w:rsidR="00100B3A">
        <w:rPr>
          <w:rFonts w:eastAsia="SimSun"/>
        </w:rPr>
        <w:t xml:space="preserve"> WB power amplitude coefficients “</w:t>
      </w:r>
      <m:oMath>
        <m:sSup>
          <m:sSupPr>
            <m:ctrlPr>
              <w:rPr>
                <w:rFonts w:ascii="Cambria Math" w:eastAsia="SimSun" w:hAnsi="Cambria Math"/>
                <w:i/>
                <w:iCs/>
                <w:lang w:val="sv-SE"/>
              </w:rPr>
            </m:ctrlPr>
          </m:sSupPr>
          <m:e>
            <m:r>
              <w:rPr>
                <w:rFonts w:ascii="Cambria Math" w:eastAsia="SimSun" w:hAnsi="Cambria Math"/>
                <w:lang w:val="sv-SE"/>
              </w:rPr>
              <m:t>p</m:t>
            </m:r>
          </m:e>
          <m:sup>
            <m:r>
              <w:rPr>
                <w:rFonts w:ascii="Cambria Math" w:eastAsia="SimSun" w:hAnsi="Cambria Math"/>
              </w:rPr>
              <m:t>(</m:t>
            </m:r>
            <m:r>
              <w:rPr>
                <w:rFonts w:ascii="Cambria Math" w:eastAsia="SimSun" w:hAnsi="Cambria Math"/>
                <w:lang w:val="sv-SE"/>
              </w:rPr>
              <m:t>WB</m:t>
            </m:r>
            <m:r>
              <w:rPr>
                <w:rFonts w:ascii="Cambria Math" w:eastAsia="SimSun" w:hAnsi="Cambria Math"/>
              </w:rPr>
              <m:t>)</m:t>
            </m:r>
          </m:sup>
        </m:sSup>
      </m:oMath>
      <w:r w:rsidR="00100B3A" w:rsidRPr="00100B3A">
        <w:rPr>
          <w:rFonts w:eastAsia="SimSun"/>
          <w:iCs/>
        </w:rPr>
        <w:t>”</w:t>
      </w:r>
      <w:r w:rsidR="00100B3A">
        <w:rPr>
          <w:rFonts w:eastAsia="SimSun"/>
          <w:iCs/>
        </w:rPr>
        <w:t xml:space="preserve"> </w:t>
      </w:r>
      <w:r w:rsidR="00100B3A">
        <w:rPr>
          <w:rFonts w:eastAsia="SimSun"/>
        </w:rPr>
        <w:t xml:space="preserve">and an </w:t>
      </w:r>
      <m:oMath>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ctrlPr>
                  <w:rPr>
                    <w:rFonts w:ascii="Cambria Math" w:eastAsia="SimSun" w:hAnsi="Cambria Math"/>
                  </w:rPr>
                </m:ctrlPr>
              </m:e>
              <m:sub>
                <m:r>
                  <w:rPr>
                    <w:rFonts w:ascii="Cambria Math" w:eastAsia="SimSun" w:hAnsi="Cambria Math"/>
                  </w:rPr>
                  <m:t>2</m:t>
                </m:r>
                <m:ctrlPr>
                  <w:rPr>
                    <w:rFonts w:ascii="Cambria Math" w:eastAsia="SimSun" w:hAnsi="Cambria Math"/>
                  </w:rPr>
                </m:ctrlPr>
              </m:sub>
            </m:sSub>
          </m:fName>
          <m:e>
            <m:d>
              <m:dPr>
                <m:begChr m:val="⌈"/>
                <m:endChr m:val="⌉"/>
                <m:ctrlPr>
                  <w:rPr>
                    <w:rFonts w:ascii="Cambria Math" w:eastAsia="SimSun" w:hAnsi="Cambria Math"/>
                    <w:i/>
                  </w:rPr>
                </m:ctrlPr>
              </m:dPr>
              <m:e>
                <m:r>
                  <w:rPr>
                    <w:rFonts w:ascii="Cambria Math" w:eastAsia="SimSun" w:hAnsi="Cambria Math"/>
                  </w:rPr>
                  <m:t>2L</m:t>
                </m:r>
              </m:e>
            </m:d>
          </m:e>
        </m:func>
      </m:oMath>
      <w:r w:rsidR="00100B3A">
        <w:rPr>
          <w:rFonts w:eastAsia="SimSun"/>
        </w:rPr>
        <w:t xml:space="preserve"> bit “strongest coefficient indicator”, SCI. The WB power can thus be encoded in two additional se</w:t>
      </w:r>
      <w:proofErr w:type="spellStart"/>
      <w:r w:rsidR="00100B3A">
        <w:rPr>
          <w:rFonts w:eastAsia="SimSun"/>
        </w:rPr>
        <w:t>ts</w:t>
      </w:r>
      <w:proofErr w:type="spellEnd"/>
      <w:r w:rsidR="00100B3A">
        <w:rPr>
          <w:rFonts w:eastAsia="SimSun"/>
        </w:rPr>
        <w:t xml:space="preserve"> of PMI parameters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m:rPr>
                <m:sty m:val="p"/>
              </m:rPr>
              <w:rPr>
                <w:rFonts w:ascii="Cambria Math" w:eastAsia="SimSun" w:hAnsi="Cambria Math"/>
              </w:rPr>
              <m:t>0</m:t>
            </m:r>
          </m:sub>
        </m:sSub>
        <m:r>
          <w:rPr>
            <w:rFonts w:ascii="Cambria Math" w:eastAsia="SimSun" w:hAnsi="Cambria Math"/>
          </w:rPr>
          <m:t xml:space="preserve"> </m:t>
        </m:r>
      </m:oMath>
      <w:r w:rsidR="00100B3A">
        <w:rPr>
          <w:rFonts w:eastAsia="SimSun"/>
        </w:rPr>
        <w:t xml:space="preserve">and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m:rPr>
                <m:sty m:val="p"/>
              </m:rPr>
              <w:rPr>
                <w:rFonts w:ascii="Cambria Math" w:eastAsia="SimSun" w:hAnsi="Cambria Math"/>
              </w:rPr>
              <m:t>1</m:t>
            </m:r>
          </m:sub>
        </m:sSub>
      </m:oMath>
      <w:r w:rsidR="00100B3A">
        <w:rPr>
          <w:rFonts w:eastAsia="SimSun"/>
        </w:rPr>
        <w:t xml:space="preserve"> for the first ans second layer respectively, where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l</m:t>
            </m:r>
          </m:sub>
        </m:sSub>
      </m:oMath>
      <w:r w:rsidR="00100B3A">
        <w:rPr>
          <w:rFonts w:eastAsia="SimSun"/>
        </w:rPr>
        <w:t xml:space="preserve"> (“relative power indicator”) includes </w:t>
      </w:r>
      <m:oMath>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SCI</m:t>
            </m:r>
            <m:ctrlPr>
              <w:rPr>
                <w:rFonts w:ascii="Cambria Math" w:eastAsia="SimSun" w:hAnsi="Cambria Math"/>
                <w:i/>
              </w:rPr>
            </m:ctrlPr>
          </m:e>
          <m:sub>
            <m:r>
              <m:rPr>
                <m:sty m:val="p"/>
              </m:rPr>
              <w:rPr>
                <w:rFonts w:ascii="Cambria Math" w:eastAsia="SimSun" w:hAnsi="Cambria Math"/>
              </w:rPr>
              <m:t>l</m:t>
            </m:r>
          </m:sub>
        </m:sSub>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lang w:val="sv-SE"/>
              </w:rPr>
              <m:t>p</m:t>
            </m:r>
          </m:e>
          <m:sub>
            <m:r>
              <w:rPr>
                <w:rFonts w:ascii="Cambria Math" w:eastAsia="SimSun" w:hAnsi="Cambria Math"/>
              </w:rPr>
              <m:t>l,0</m:t>
            </m:r>
          </m:sub>
          <m:sup>
            <m:d>
              <m:dPr>
                <m:ctrlPr>
                  <w:rPr>
                    <w:rFonts w:ascii="Cambria Math" w:eastAsia="SimSun" w:hAnsi="Cambria Math"/>
                    <w:i/>
                    <w:iCs/>
                  </w:rPr>
                </m:ctrlPr>
              </m:dPr>
              <m:e>
                <m:r>
                  <w:rPr>
                    <w:rFonts w:ascii="Cambria Math" w:eastAsia="SimSun" w:hAnsi="Cambria Math"/>
                    <w:lang w:val="sv-SE"/>
                  </w:rPr>
                  <m:t>WB</m:t>
                </m:r>
              </m:e>
            </m:d>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lang w:val="sv-SE"/>
              </w:rPr>
              <m:t>p</m:t>
            </m:r>
          </m:e>
          <m:sub>
            <m:r>
              <w:rPr>
                <w:rFonts w:ascii="Cambria Math" w:eastAsia="SimSun" w:hAnsi="Cambria Math"/>
              </w:rPr>
              <m:t>l,2L-2</m:t>
            </m:r>
          </m:sub>
          <m:sup>
            <m:d>
              <m:dPr>
                <m:ctrlPr>
                  <w:rPr>
                    <w:rFonts w:ascii="Cambria Math" w:eastAsia="SimSun" w:hAnsi="Cambria Math"/>
                    <w:i/>
                    <w:iCs/>
                  </w:rPr>
                </m:ctrlPr>
              </m:dPr>
              <m:e>
                <m:r>
                  <w:rPr>
                    <w:rFonts w:ascii="Cambria Math" w:eastAsia="SimSun" w:hAnsi="Cambria Math"/>
                    <w:lang w:val="sv-SE"/>
                  </w:rPr>
                  <m:t>WB</m:t>
                </m:r>
              </m:e>
            </m:d>
          </m:sup>
        </m:sSubSup>
        <m:r>
          <w:rPr>
            <w:rFonts w:ascii="Cambria Math" w:eastAsia="SimSun" w:hAnsi="Cambria Math"/>
          </w:rPr>
          <m:t>}</m:t>
        </m:r>
      </m:oMath>
    </w:p>
    <w:p w14:paraId="34691012" w14:textId="3D7CBD79" w:rsidR="00EB12D8" w:rsidRDefault="00100B3A" w:rsidP="00557CFB">
      <w:pPr>
        <w:rPr>
          <w:rFonts w:eastAsia="SimSun"/>
        </w:rPr>
      </w:pPr>
      <w:r>
        <w:rPr>
          <w:rFonts w:eastAsia="SimSun"/>
        </w:rPr>
        <w:t xml:space="preserve">The subband part of the PMI report contains subband cophasing and subband differential amplitude coefficients (if configured) and must also be encoded separately per layer as the coefficients for the second layer are not present if the RI=1. Denoting the subband PMI parameters as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2,1</m:t>
            </m:r>
          </m:sub>
        </m:sSub>
      </m:oMath>
      <w:r>
        <w:rPr>
          <w:rFonts w:eastAsia="SimSun"/>
        </w:rPr>
        <w:t xml:space="preserve"> and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2,2</m:t>
            </m:r>
          </m:sub>
        </m:sSub>
      </m:oMath>
      <w:r>
        <w:rPr>
          <w:rFonts w:eastAsia="SimSun"/>
        </w:rPr>
        <w:t xml:space="preserve"> for the first and second layer respectively,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2,l</m:t>
            </m:r>
          </m:sub>
        </m:sSub>
        <m:r>
          <w:rPr>
            <w:rFonts w:ascii="Cambria Math" w:eastAsia="SimSun" w:hAnsi="Cambria Math"/>
          </w:rPr>
          <m:t xml:space="preserve"> </m:t>
        </m:r>
      </m:oMath>
      <w:r>
        <w:rPr>
          <w:rFonts w:eastAsia="SimSun"/>
        </w:rPr>
        <w:t xml:space="preserve">can </w:t>
      </w:r>
      <w:r w:rsidR="00EB12D8">
        <w:rPr>
          <w:rFonts w:eastAsia="SimSun"/>
        </w:rPr>
        <w:t xml:space="preserve">thus </w:t>
      </w:r>
      <w:r>
        <w:rPr>
          <w:rFonts w:eastAsia="SimSun"/>
        </w:rPr>
        <w:t xml:space="preserve">be comprised of a </w:t>
      </w:r>
      <w:r w:rsidR="00EB12D8">
        <w:rPr>
          <w:rFonts w:eastAsia="SimSun"/>
        </w:rPr>
        <w:t xml:space="preserve">“subband relative power indicator”, SRPI, and “subband phase indicator”, SPI. </w:t>
      </w:r>
    </w:p>
    <w:p w14:paraId="645A056D" w14:textId="3A833E27" w:rsidR="008E6067" w:rsidRDefault="008E6067" w:rsidP="008E6067">
      <w:pPr>
        <w:pStyle w:val="Proposal"/>
      </w:pPr>
      <w:bookmarkStart w:id="34" w:name="_Toc485291716"/>
      <w:bookmarkStart w:id="35" w:name="_Toc485416942"/>
      <w:bookmarkStart w:id="36" w:name="_Toc490135171"/>
      <w:bookmarkStart w:id="37" w:name="_Toc490220179"/>
      <w:r>
        <w:t>For Type II CSI reporting, PMI consist of</w:t>
      </w:r>
      <w:bookmarkEnd w:id="34"/>
      <w:bookmarkEnd w:id="35"/>
      <w:bookmarkEnd w:id="36"/>
      <w:bookmarkEnd w:id="37"/>
    </w:p>
    <w:p w14:paraId="46750A53" w14:textId="67F3C001" w:rsidR="008E6067" w:rsidRPr="008E6067" w:rsidRDefault="008E6067" w:rsidP="008E6067">
      <w:pPr>
        <w:pStyle w:val="Proposal"/>
        <w:numPr>
          <w:ilvl w:val="1"/>
          <w:numId w:val="3"/>
        </w:numPr>
      </w:pPr>
      <w:bookmarkStart w:id="38" w:name="_Toc485291717"/>
      <w:bookmarkStart w:id="39" w:name="_Toc485416943"/>
      <w:bookmarkStart w:id="40" w:name="_Toc490135172"/>
      <w:bookmarkStart w:id="41" w:name="_Toc490220180"/>
      <w:r>
        <w:t xml:space="preserve">Wideband </w:t>
      </w:r>
      <m:oMath>
        <m:sSub>
          <m:sSubPr>
            <m:ctrlPr>
              <w:rPr>
                <w:rFonts w:ascii="Cambria Math" w:hAnsi="Cambria Math"/>
                <w:b w:val="0"/>
                <w:i/>
              </w:rPr>
            </m:ctrlPr>
          </m:sSubPr>
          <m:e>
            <m:r>
              <m:rPr>
                <m:sty m:val="bi"/>
              </m:rPr>
              <w:rPr>
                <w:rFonts w:ascii="Cambria Math" w:hAnsi="Cambria Math"/>
              </w:rPr>
              <m:t>i</m:t>
            </m:r>
          </m:e>
          <m:sub>
            <m:r>
              <m:rPr>
                <m:sty m:val="bi"/>
              </m:rPr>
              <w:rPr>
                <w:rFonts w:ascii="Cambria Math" w:hAnsi="Cambria Math"/>
              </w:rPr>
              <m:t>1</m:t>
            </m:r>
          </m:sub>
        </m:sSub>
      </m:oMath>
      <w:r>
        <w:t xml:space="preserve"> i</w:t>
      </w:r>
      <w:proofErr w:type="spellStart"/>
      <w:r>
        <w:t>ndex</w:t>
      </w:r>
      <w:proofErr w:type="spellEnd"/>
      <w:r>
        <w:t xml:space="preserve"> indicating beam selection, comprising the triplet</w:t>
      </w:r>
      <w:r w:rsidRPr="00934F4C">
        <w:t xml:space="preserve"> </w:t>
      </w:r>
      <m:oMath>
        <m:r>
          <m:rPr>
            <m:sty m:val="bi"/>
          </m:rPr>
          <w:rPr>
            <w:rFonts w:ascii="Cambria Math" w:eastAsia="SimSun" w:hAnsi="Cambria Math"/>
          </w:rPr>
          <m:t>{</m:t>
        </m:r>
        <m:sSub>
          <m:sSubPr>
            <m:ctrlPr>
              <w:rPr>
                <w:rFonts w:ascii="Cambria Math" w:eastAsia="SimSun" w:hAnsi="Cambria Math"/>
                <w:i/>
              </w:rPr>
            </m:ctrlPr>
          </m:sSubPr>
          <m:e>
            <m:r>
              <m:rPr>
                <m:sty m:val="bi"/>
              </m:rPr>
              <w:rPr>
                <w:rFonts w:ascii="Cambria Math" w:eastAsia="SimSun" w:hAnsi="Cambria Math"/>
              </w:rPr>
              <m:t>q</m:t>
            </m:r>
          </m:e>
          <m:sub>
            <m:r>
              <m:rPr>
                <m:sty m:val="bi"/>
              </m:rPr>
              <w:rPr>
                <w:rFonts w:ascii="Cambria Math" w:eastAsia="SimSun" w:hAnsi="Cambria Math"/>
              </w:rPr>
              <m:t>1</m:t>
            </m:r>
          </m:sub>
        </m:sSub>
        <m:r>
          <m:rPr>
            <m:sty m:val="bi"/>
          </m:rPr>
          <w:rPr>
            <w:rFonts w:ascii="Cambria Math" w:eastAsia="SimSun" w:hAnsi="Cambria Math"/>
          </w:rPr>
          <m:t>,</m:t>
        </m:r>
        <m:sSub>
          <m:sSubPr>
            <m:ctrlPr>
              <w:rPr>
                <w:rFonts w:ascii="Cambria Math" w:eastAsia="SimSun" w:hAnsi="Cambria Math"/>
                <w:i/>
              </w:rPr>
            </m:ctrlPr>
          </m:sSubPr>
          <m:e>
            <m:r>
              <m:rPr>
                <m:sty m:val="bi"/>
              </m:rPr>
              <w:rPr>
                <w:rFonts w:ascii="Cambria Math" w:eastAsia="SimSun" w:hAnsi="Cambria Math"/>
              </w:rPr>
              <m:t>q</m:t>
            </m:r>
          </m:e>
          <m:sub>
            <m:r>
              <m:rPr>
                <m:sty m:val="bi"/>
              </m:rPr>
              <w:rPr>
                <w:rFonts w:ascii="Cambria Math" w:eastAsia="SimSun" w:hAnsi="Cambria Math"/>
              </w:rPr>
              <m:t>2</m:t>
            </m:r>
          </m:sub>
        </m:sSub>
        <m:r>
          <m:rPr>
            <m:sty m:val="bi"/>
          </m:rPr>
          <w:rPr>
            <w:rFonts w:ascii="Cambria Math" w:eastAsia="SimSun" w:hAnsi="Cambria Math"/>
          </w:rPr>
          <m:t>,r}</m:t>
        </m:r>
      </m:oMath>
      <w:bookmarkEnd w:id="38"/>
      <w:bookmarkEnd w:id="39"/>
      <w:bookmarkEnd w:id="40"/>
      <w:bookmarkEnd w:id="41"/>
    </w:p>
    <w:p w14:paraId="0D19C8F9" w14:textId="5FC5E1A6" w:rsidR="008E6067" w:rsidRPr="008E6067" w:rsidRDefault="008E6067" w:rsidP="008E6067">
      <w:pPr>
        <w:pStyle w:val="Proposal"/>
        <w:numPr>
          <w:ilvl w:val="1"/>
          <w:numId w:val="3"/>
        </w:numPr>
      </w:pPr>
      <w:bookmarkStart w:id="42" w:name="_Toc485291718"/>
      <w:bookmarkStart w:id="43" w:name="_Toc485416944"/>
      <w:bookmarkStart w:id="44" w:name="_Toc490135173"/>
      <w:bookmarkStart w:id="45" w:name="_Toc490220181"/>
      <w:r>
        <w:t xml:space="preserve">Wideband </w:t>
      </w:r>
      <m:oMath>
        <m:r>
          <m:rPr>
            <m:sty m:val="b"/>
          </m:rPr>
          <w:rPr>
            <w:rFonts w:ascii="Cambria Math" w:eastAsia="SimSun" w:hAnsi="Cambria Math"/>
          </w:rPr>
          <m:t>RP</m:t>
        </m:r>
        <m:sSub>
          <m:sSubPr>
            <m:ctrlPr>
              <w:rPr>
                <w:rFonts w:ascii="Cambria Math" w:eastAsia="SimSun" w:hAnsi="Cambria Math"/>
              </w:rPr>
            </m:ctrlPr>
          </m:sSubPr>
          <m:e>
            <m:r>
              <m:rPr>
                <m:sty m:val="b"/>
              </m:rPr>
              <w:rPr>
                <w:rFonts w:ascii="Cambria Math" w:eastAsia="SimSun" w:hAnsi="Cambria Math"/>
              </w:rPr>
              <m:t>I</m:t>
            </m:r>
          </m:e>
          <m:sub>
            <m:r>
              <m:rPr>
                <m:sty m:val="bi"/>
              </m:rPr>
              <w:rPr>
                <w:rFonts w:ascii="Cambria Math" w:eastAsia="SimSun" w:hAnsi="Cambria Math"/>
              </w:rPr>
              <m:t>1</m:t>
            </m:r>
          </m:sub>
        </m:sSub>
      </m:oMath>
      <w:r>
        <w:t xml:space="preserve"> and </w:t>
      </w:r>
      <m:oMath>
        <m:r>
          <m:rPr>
            <m:sty m:val="b"/>
          </m:rPr>
          <w:rPr>
            <w:rFonts w:ascii="Cambria Math" w:eastAsia="SimSun" w:hAnsi="Cambria Math"/>
          </w:rPr>
          <m:t>RP</m:t>
        </m:r>
        <m:sSub>
          <m:sSubPr>
            <m:ctrlPr>
              <w:rPr>
                <w:rFonts w:ascii="Cambria Math" w:eastAsia="SimSun" w:hAnsi="Cambria Math"/>
              </w:rPr>
            </m:ctrlPr>
          </m:sSubPr>
          <m:e>
            <m:r>
              <m:rPr>
                <m:sty m:val="b"/>
              </m:rPr>
              <w:rPr>
                <w:rFonts w:ascii="Cambria Math" w:eastAsia="SimSun" w:hAnsi="Cambria Math"/>
              </w:rPr>
              <m:t>I</m:t>
            </m:r>
          </m:e>
          <m:sub>
            <m:r>
              <m:rPr>
                <m:sty m:val="bi"/>
              </m:rPr>
              <w:rPr>
                <w:rFonts w:ascii="Cambria Math" w:eastAsia="SimSun" w:hAnsi="Cambria Math"/>
              </w:rPr>
              <m:t>2</m:t>
            </m:r>
          </m:sub>
        </m:sSub>
      </m:oMath>
      <w:r>
        <w:t xml:space="preserve"> indicating beam amplitude for each layer</w:t>
      </w:r>
      <w:bookmarkEnd w:id="42"/>
      <w:bookmarkEnd w:id="43"/>
      <w:bookmarkEnd w:id="44"/>
      <w:bookmarkEnd w:id="45"/>
    </w:p>
    <w:p w14:paraId="7E388CE6" w14:textId="007159CC" w:rsidR="008E6067" w:rsidRDefault="008E6067" w:rsidP="008E6067">
      <w:pPr>
        <w:pStyle w:val="Proposal"/>
        <w:numPr>
          <w:ilvl w:val="1"/>
          <w:numId w:val="3"/>
        </w:numPr>
      </w:pPr>
      <w:bookmarkStart w:id="46" w:name="_Toc485291719"/>
      <w:bookmarkStart w:id="47" w:name="_Toc485416945"/>
      <w:bookmarkStart w:id="48" w:name="_Toc490135174"/>
      <w:bookmarkStart w:id="49" w:name="_Toc490220182"/>
      <w:r>
        <w:t xml:space="preserve">Subband </w:t>
      </w:r>
      <m:oMath>
        <m:sSub>
          <m:sSubPr>
            <m:ctrlPr>
              <w:rPr>
                <w:rFonts w:ascii="Cambria Math" w:eastAsia="SimSun" w:hAnsi="Cambria Math"/>
                <w:i/>
              </w:rPr>
            </m:ctrlPr>
          </m:sSubPr>
          <m:e>
            <m:r>
              <m:rPr>
                <m:sty m:val="bi"/>
              </m:rPr>
              <w:rPr>
                <w:rFonts w:ascii="Cambria Math" w:eastAsia="SimSun" w:hAnsi="Cambria Math"/>
              </w:rPr>
              <m:t>i</m:t>
            </m:r>
          </m:e>
          <m:sub>
            <m:r>
              <m:rPr>
                <m:sty m:val="bi"/>
              </m:rPr>
              <w:rPr>
                <w:rFonts w:ascii="Cambria Math" w:eastAsia="SimSun" w:hAnsi="Cambria Math"/>
              </w:rPr>
              <m:t>2,1</m:t>
            </m:r>
          </m:sub>
        </m:sSub>
      </m:oMath>
      <w:r>
        <w:t xml:space="preserve"> and </w:t>
      </w:r>
      <m:oMath>
        <m:sSub>
          <m:sSubPr>
            <m:ctrlPr>
              <w:rPr>
                <w:rFonts w:ascii="Cambria Math" w:eastAsia="SimSun" w:hAnsi="Cambria Math"/>
                <w:i/>
              </w:rPr>
            </m:ctrlPr>
          </m:sSubPr>
          <m:e>
            <m:r>
              <m:rPr>
                <m:sty m:val="bi"/>
              </m:rPr>
              <w:rPr>
                <w:rFonts w:ascii="Cambria Math" w:eastAsia="SimSun" w:hAnsi="Cambria Math"/>
              </w:rPr>
              <m:t>i</m:t>
            </m:r>
          </m:e>
          <m:sub>
            <m:r>
              <m:rPr>
                <m:sty m:val="bi"/>
              </m:rPr>
              <w:rPr>
                <w:rFonts w:ascii="Cambria Math" w:eastAsia="SimSun" w:hAnsi="Cambria Math"/>
              </w:rPr>
              <m:t>2,2</m:t>
            </m:r>
          </m:sub>
        </m:sSub>
        <m:r>
          <m:rPr>
            <m:sty m:val="bi"/>
          </m:rPr>
          <w:rPr>
            <w:rFonts w:ascii="Cambria Math" w:eastAsia="SimSun" w:hAnsi="Cambria Math"/>
          </w:rPr>
          <m:t xml:space="preserve"> </m:t>
        </m:r>
      </m:oMath>
      <w:r>
        <w:t>indices indicating subband amplitude and phase coefficients</w:t>
      </w:r>
      <w:bookmarkEnd w:id="46"/>
      <w:bookmarkEnd w:id="47"/>
      <w:bookmarkEnd w:id="48"/>
      <w:bookmarkEnd w:id="49"/>
    </w:p>
    <w:p w14:paraId="757D9CB3" w14:textId="77777777" w:rsidR="008E6067" w:rsidRPr="008E6067" w:rsidRDefault="008E6067" w:rsidP="00557CFB">
      <w:pPr>
        <w:rPr>
          <w:rFonts w:eastAsia="SimSun"/>
        </w:rPr>
      </w:pPr>
    </w:p>
    <w:p w14:paraId="66DE4B11" w14:textId="77777777" w:rsidR="008E6067" w:rsidRDefault="008E6067" w:rsidP="00557CFB">
      <w:pPr>
        <w:rPr>
          <w:rFonts w:eastAsia="SimSun"/>
        </w:rPr>
      </w:pPr>
    </w:p>
    <w:p w14:paraId="0971030A" w14:textId="77777777" w:rsidR="008E6067" w:rsidRDefault="00EB12D8" w:rsidP="00557CFB">
      <w:pPr>
        <w:rPr>
          <w:rFonts w:eastAsia="SimSun"/>
        </w:rPr>
      </w:pPr>
      <w:r>
        <w:rPr>
          <w:rFonts w:eastAsia="SimSun"/>
        </w:rPr>
        <w:lastRenderedPageBreak/>
        <w:t xml:space="preserve">According to the codebook agreements, the PMI payload associated with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2,l</m:t>
            </m:r>
          </m:sub>
        </m:sSub>
      </m:oMath>
      <w:r>
        <w:rPr>
          <w:rFonts w:eastAsia="SimSun"/>
        </w:rPr>
        <w:t xml:space="preserve"> can vary and depends on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l</m:t>
            </m:r>
          </m:sub>
        </m:sSub>
      </m:oMath>
      <w:r>
        <w:rPr>
          <w:rFonts w:eastAsia="SimSun"/>
        </w:rPr>
        <w:t xml:space="preserve">, as subband coefficients corresponding to WB amplitude coefficients where </w:t>
      </w:r>
      <m:oMath>
        <m:sSubSup>
          <m:sSubSupPr>
            <m:ctrlPr>
              <w:rPr>
                <w:rFonts w:ascii="Cambria Math" w:eastAsia="SimSun" w:hAnsi="Cambria Math"/>
                <w:i/>
              </w:rPr>
            </m:ctrlPr>
          </m:sSubSupPr>
          <m:e>
            <m:r>
              <w:rPr>
                <w:rFonts w:ascii="Cambria Math" w:eastAsia="SimSun" w:hAnsi="Cambria Math"/>
                <w:lang w:val="sv-SE"/>
              </w:rPr>
              <m:t>p</m:t>
            </m:r>
          </m:e>
          <m:sub>
            <m:r>
              <w:rPr>
                <w:rFonts w:ascii="Cambria Math" w:eastAsia="SimSun" w:hAnsi="Cambria Math"/>
              </w:rPr>
              <m:t>l</m:t>
            </m:r>
          </m:sub>
          <m:sup>
            <m:d>
              <m:dPr>
                <m:ctrlPr>
                  <w:rPr>
                    <w:rFonts w:ascii="Cambria Math" w:eastAsia="SimSun" w:hAnsi="Cambria Math"/>
                    <w:i/>
                    <w:iCs/>
                  </w:rPr>
                </m:ctrlPr>
              </m:dPr>
              <m:e>
                <m:r>
                  <w:rPr>
                    <w:rFonts w:ascii="Cambria Math" w:eastAsia="SimSun" w:hAnsi="Cambria Math"/>
                    <w:lang w:val="sv-SE"/>
                  </w:rPr>
                  <m:t>WB</m:t>
                </m:r>
              </m:e>
            </m:d>
          </m:sup>
        </m:sSubSup>
        <m:r>
          <w:rPr>
            <w:rFonts w:ascii="Cambria Math" w:eastAsia="SimSun" w:hAnsi="Cambria Math"/>
          </w:rPr>
          <m:t>=0</m:t>
        </m:r>
      </m:oMath>
      <w:r>
        <w:rPr>
          <w:rFonts w:eastAsia="SimSun"/>
        </w:rPr>
        <w:t xml:space="preserve"> shall not be reported. It could also be possible to adjust the payload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depending on the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1</m:t>
            </m:r>
          </m:sub>
        </m:sSub>
      </m:oMath>
      <w:r>
        <w:rPr>
          <w:rFonts w:eastAsia="SimSun"/>
        </w:rPr>
        <w:t xml:space="preserve"> and </w:t>
      </w:r>
      <m:oMath>
        <m:r>
          <m:rPr>
            <m:sty m:val="p"/>
          </m:rPr>
          <w:rPr>
            <w:rFonts w:ascii="Cambria Math" w:eastAsia="SimSun" w:hAnsi="Cambria Math"/>
          </w:rPr>
          <m:t>RP</m:t>
        </m:r>
        <m:sSub>
          <m:sSubPr>
            <m:ctrlPr>
              <w:rPr>
                <w:rFonts w:ascii="Cambria Math" w:eastAsia="SimSun" w:hAnsi="Cambria Math"/>
              </w:rPr>
            </m:ctrlPr>
          </m:sSubPr>
          <m:e>
            <m:r>
              <m:rPr>
                <m:sty m:val="p"/>
              </m:rPr>
              <w:rPr>
                <w:rFonts w:ascii="Cambria Math" w:eastAsia="SimSun" w:hAnsi="Cambria Math"/>
              </w:rPr>
              <m:t>I</m:t>
            </m:r>
          </m:e>
          <m:sub>
            <m:r>
              <w:rPr>
                <w:rFonts w:ascii="Cambria Math" w:eastAsia="SimSun" w:hAnsi="Cambria Math"/>
              </w:rPr>
              <m:t>2</m:t>
            </m:r>
          </m:sub>
        </m:sSub>
      </m:oMath>
      <w:r>
        <w:rPr>
          <w:rFonts w:eastAsia="SimSun"/>
        </w:rPr>
        <w:t xml:space="preserve"> so that a smaller number of beams than L are indicated. However,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Pr>
          <w:rFonts w:eastAsia="SimSun"/>
        </w:rPr>
        <w:t xml:space="preserve"> payload is relatively small, and a total of four amplitude coefficients would have to be reported as zero in case of rank-2 (both polarizations and layers of a beam) for the payload of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sidR="008E6067">
        <w:rPr>
          <w:rFonts w:eastAsia="SimSun"/>
        </w:rPr>
        <w:t xml:space="preserve"> to change, and this would also mean that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1</m:t>
            </m:r>
          </m:sub>
        </m:sSub>
      </m:oMath>
      <w:r w:rsidR="008E6067">
        <w:rPr>
          <w:rFonts w:eastAsia="SimSun"/>
        </w:rPr>
        <w:t xml:space="preserve"> and </w:t>
      </w:r>
      <m:oMath>
        <m:r>
          <m:rPr>
            <m:sty m:val="p"/>
          </m:rPr>
          <w:rPr>
            <w:rFonts w:ascii="Cambria Math" w:eastAsia="SimSun" w:hAnsi="Cambria Math"/>
          </w:rPr>
          <m:t>RPI</m:t>
        </m:r>
      </m:oMath>
      <w:r w:rsidR="008E6067">
        <w:rPr>
          <w:rFonts w:eastAsia="SimSun"/>
        </w:rPr>
        <w:t xml:space="preserve"> cannot be joi</w:t>
      </w:r>
      <w:proofErr w:type="spellStart"/>
      <w:r w:rsidR="008E6067">
        <w:rPr>
          <w:rFonts w:eastAsia="SimSun"/>
        </w:rPr>
        <w:t>ntly</w:t>
      </w:r>
      <w:proofErr w:type="spellEnd"/>
      <w:r w:rsidR="008E6067">
        <w:rPr>
          <w:rFonts w:eastAsia="SimSun"/>
        </w:rPr>
        <w:t xml:space="preserve"> encoded.</w:t>
      </w:r>
    </w:p>
    <w:p w14:paraId="4CECFDE4" w14:textId="444AFE1A" w:rsidR="00100B3A" w:rsidRDefault="008E6067" w:rsidP="00557CFB">
      <w:pPr>
        <w:rPr>
          <w:rFonts w:eastAsia="SimSun"/>
        </w:rPr>
      </w:pPr>
      <w:r>
        <w:rPr>
          <w:rFonts w:eastAsia="SimSun"/>
        </w:rPr>
        <w:t xml:space="preserve">Thus, as the PMI payload depends on both RI and RPI, it must be divided into several parts which are independently </w:t>
      </w:r>
      <w:r w:rsidR="00223715">
        <w:rPr>
          <w:rFonts w:eastAsia="SimSun"/>
        </w:rPr>
        <w:t>encoded. This could be done for instance as:</w:t>
      </w:r>
    </w:p>
    <w:p w14:paraId="0228EB57" w14:textId="6941C7BF" w:rsidR="00223715" w:rsidRDefault="00223715" w:rsidP="00223715">
      <w:pPr>
        <w:pStyle w:val="ListParagraph"/>
        <w:numPr>
          <w:ilvl w:val="0"/>
          <w:numId w:val="17"/>
        </w:numPr>
      </w:pPr>
      <w:r>
        <w:t xml:space="preserve">A first set of </w:t>
      </w:r>
      <w:r w:rsidR="002D1FB1">
        <w:t>PMI</w:t>
      </w:r>
      <w:r>
        <w:t xml:space="preserve"> parameters contain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w:t>
      </w:r>
      <m:oMath>
        <m:r>
          <m:rPr>
            <m:sty m:val="p"/>
          </m:rPr>
          <w:rPr>
            <w:rFonts w:ascii="Cambria Math" w:hAnsi="Cambria Math"/>
          </w:rPr>
          <m:t>RP</m:t>
        </m:r>
        <m:sSub>
          <m:sSubPr>
            <m:ctrlPr>
              <w:rPr>
                <w:rFonts w:ascii="Cambria Math" w:hAnsi="Cambria Math"/>
              </w:rPr>
            </m:ctrlPr>
          </m:sSubPr>
          <m:e>
            <m:r>
              <m:rPr>
                <m:sty m:val="p"/>
              </m:rPr>
              <w:rPr>
                <w:rFonts w:ascii="Cambria Math" w:hAnsi="Cambria Math"/>
              </w:rPr>
              <m:t>I</m:t>
            </m:r>
          </m:e>
          <m:sub>
            <m:r>
              <m:rPr>
                <m:sty m:val="bi"/>
              </m:rPr>
              <w:rPr>
                <w:rFonts w:ascii="Cambria Math" w:hAnsi="Cambria Math"/>
              </w:rPr>
              <m:t>1</m:t>
            </m:r>
          </m:sub>
        </m:sSub>
      </m:oMath>
      <w:r>
        <w:t>,CQI, RI}</w:t>
      </w:r>
    </w:p>
    <w:p w14:paraId="52D00558" w14:textId="6BD8F02C" w:rsidR="00223715" w:rsidRDefault="00223715" w:rsidP="00223715">
      <w:pPr>
        <w:pStyle w:val="ListParagraph"/>
        <w:numPr>
          <w:ilvl w:val="0"/>
          <w:numId w:val="17"/>
        </w:numPr>
      </w:pPr>
      <w:r>
        <w:t xml:space="preserve">A second set of </w:t>
      </w:r>
      <w:r w:rsidR="002D1FB1">
        <w:t>PMI</w:t>
      </w:r>
      <w:r>
        <w:t xml:space="preserve"> parameters contain </w:t>
      </w:r>
      <m:oMath>
        <m:r>
          <m:rPr>
            <m:sty m:val="p"/>
          </m:rPr>
          <w:rPr>
            <w:rFonts w:ascii="Cambria Math" w:hAnsi="Cambria Math"/>
          </w:rPr>
          <m:t>RP</m:t>
        </m:r>
        <m:sSub>
          <m:sSubPr>
            <m:ctrlPr>
              <w:rPr>
                <w:rFonts w:ascii="Cambria Math" w:hAnsi="Cambria Math"/>
              </w:rPr>
            </m:ctrlPr>
          </m:sSubPr>
          <m:e>
            <m:r>
              <m:rPr>
                <m:sty m:val="p"/>
              </m:rPr>
              <w:rPr>
                <w:rFonts w:ascii="Cambria Math" w:hAnsi="Cambria Math"/>
              </w:rPr>
              <m:t>I</m:t>
            </m:r>
          </m:e>
          <m:sub>
            <m:r>
              <m:rPr>
                <m:sty m:val="bi"/>
              </m:rPr>
              <w:rPr>
                <w:rFonts w:ascii="Cambria Math" w:hAnsi="Cambria Math"/>
              </w:rPr>
              <m:t>2</m:t>
            </m:r>
          </m:sub>
        </m:sSub>
      </m:oMath>
      <w:r>
        <w:t>, (payload size depends on RI in the first set)</w:t>
      </w:r>
    </w:p>
    <w:p w14:paraId="21413B49" w14:textId="204C3FC8" w:rsidR="002D1FB1" w:rsidRDefault="00223715" w:rsidP="002D1FB1">
      <w:pPr>
        <w:pStyle w:val="ListParagraph"/>
        <w:numPr>
          <w:ilvl w:val="0"/>
          <w:numId w:val="17"/>
        </w:numPr>
      </w:pPr>
      <w:r w:rsidRPr="002D1FB1">
        <w:t xml:space="preserve">A third set of </w:t>
      </w:r>
      <w:r w:rsidR="002D1FB1">
        <w:t>PMI</w:t>
      </w:r>
      <w:r w:rsidRPr="002D1FB1">
        <w:t xml:space="preserve"> parameters contain </w:t>
      </w:r>
      <m:oMath>
        <m:sSub>
          <m:sSubPr>
            <m:ctrlPr>
              <w:rPr>
                <w:rFonts w:ascii="Cambria Math" w:hAnsi="Cambria Math"/>
                <w:i/>
              </w:rPr>
            </m:ctrlPr>
          </m:sSubPr>
          <m:e>
            <m:r>
              <w:rPr>
                <w:rFonts w:ascii="Cambria Math" w:hAnsi="Cambria Math"/>
              </w:rPr>
              <m:t>{i</m:t>
            </m:r>
          </m:e>
          <m:sub>
            <m:r>
              <w:rPr>
                <w:rFonts w:ascii="Cambria Math" w:hAnsi="Cambria Math"/>
              </w:rPr>
              <m:t>2,1</m:t>
            </m:r>
          </m:sub>
        </m:sSub>
      </m:oMath>
      <w:r w:rsidR="002D1FB1" w:rsidRPr="002D1FB1">
        <w:t>,</w:t>
      </w:r>
      <m:oMath>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2,2</m:t>
            </m:r>
          </m:sub>
        </m:sSub>
        <m:r>
          <w:rPr>
            <w:rFonts w:ascii="Cambria Math" w:hAnsi="Cambria Math"/>
          </w:rPr>
          <m:t>}</m:t>
        </m:r>
      </m:oMath>
      <w:r w:rsidRPr="002D1FB1">
        <w:t>, (</w:t>
      </w:r>
      <w:r w:rsidR="002D1FB1">
        <w:t xml:space="preserve">payload size depends on </w:t>
      </w:r>
      <m:oMath>
        <m:r>
          <m:rPr>
            <m:sty m:val="p"/>
          </m:rPr>
          <w:rPr>
            <w:rFonts w:ascii="Cambria Math" w:hAnsi="Cambria Math"/>
          </w:rPr>
          <m:t>RP</m:t>
        </m:r>
        <m:sSub>
          <m:sSubPr>
            <m:ctrlPr>
              <w:rPr>
                <w:rFonts w:ascii="Cambria Math" w:hAnsi="Cambria Math"/>
              </w:rPr>
            </m:ctrlPr>
          </m:sSubPr>
          <m:e>
            <m:r>
              <m:rPr>
                <m:sty m:val="p"/>
              </m:rPr>
              <w:rPr>
                <w:rFonts w:ascii="Cambria Math" w:hAnsi="Cambria Math"/>
              </w:rPr>
              <m:t>I</m:t>
            </m:r>
          </m:e>
          <m:sub>
            <m:r>
              <w:rPr>
                <w:rFonts w:ascii="Cambria Math" w:hAnsi="Cambria Math"/>
              </w:rPr>
              <m:t>1</m:t>
            </m:r>
          </m:sub>
        </m:sSub>
      </m:oMath>
      <w:r w:rsidR="002D1FB1">
        <w:t xml:space="preserve">, </w:t>
      </w:r>
      <m:oMath>
        <m:r>
          <m:rPr>
            <m:sty m:val="p"/>
          </m:rPr>
          <w:rPr>
            <w:rFonts w:ascii="Cambria Math" w:hAnsi="Cambria Math"/>
          </w:rPr>
          <m:t>RP</m:t>
        </m:r>
        <m:sSub>
          <m:sSubPr>
            <m:ctrlPr>
              <w:rPr>
                <w:rFonts w:ascii="Cambria Math" w:hAnsi="Cambria Math"/>
              </w:rPr>
            </m:ctrlPr>
          </m:sSubPr>
          <m:e>
            <m:r>
              <m:rPr>
                <m:sty m:val="p"/>
              </m:rPr>
              <w:rPr>
                <w:rFonts w:ascii="Cambria Math" w:hAnsi="Cambria Math"/>
              </w:rPr>
              <m:t>I</m:t>
            </m:r>
          </m:e>
          <m:sub>
            <m:r>
              <w:rPr>
                <w:rFonts w:ascii="Cambria Math" w:hAnsi="Cambria Math"/>
              </w:rPr>
              <m:t>2</m:t>
            </m:r>
          </m:sub>
        </m:sSub>
      </m:oMath>
      <w:r w:rsidR="002D1FB1">
        <w:t xml:space="preserve"> and RI in the first and second set)</w:t>
      </w:r>
    </w:p>
    <w:p w14:paraId="0B34E094" w14:textId="2ED9ECB8" w:rsidR="002D1FB1" w:rsidRDefault="002D1FB1" w:rsidP="002D1FB1">
      <w:pPr>
        <w:pStyle w:val="Observation"/>
        <w:rPr>
          <w:rFonts w:eastAsia="SimSun"/>
        </w:rPr>
      </w:pPr>
      <w:bookmarkStart w:id="50" w:name="_Toc490248136"/>
      <w:r>
        <w:rPr>
          <w:rFonts w:eastAsia="SimSun"/>
        </w:rPr>
        <w:t>As Type II PMI payload size depends on both RI and RPI, the PMI report must be divided in at least three PMI parameter sets, where each set can be jointly encoded</w:t>
      </w:r>
      <w:bookmarkEnd w:id="50"/>
    </w:p>
    <w:p w14:paraId="713B4A4D" w14:textId="53F1E750" w:rsidR="00557CFB" w:rsidRDefault="002D1FB1" w:rsidP="00557CFB">
      <w:pPr>
        <w:rPr>
          <w:rFonts w:eastAsia="SimSun"/>
        </w:rPr>
      </w:pPr>
      <w:r w:rsidRPr="002D1FB1">
        <w:rPr>
          <w:rFonts w:eastAsia="SimSun"/>
        </w:rPr>
        <w:t xml:space="preserve"> </w:t>
      </w:r>
      <w:r>
        <w:rPr>
          <w:rFonts w:eastAsia="SimSun"/>
        </w:rPr>
        <w:t>Note that all PMI parameter sets of course shall be multiplexed on the same PUSCH transmission.</w:t>
      </w:r>
    </w:p>
    <w:p w14:paraId="0243B864" w14:textId="7B057D03" w:rsidR="0082493C" w:rsidRDefault="0082493C" w:rsidP="00557CFB">
      <w:pPr>
        <w:rPr>
          <w:rFonts w:eastAsia="SimSun"/>
        </w:rPr>
      </w:pPr>
    </w:p>
    <w:p w14:paraId="1C99CE23" w14:textId="0393E006" w:rsidR="0082493C" w:rsidRDefault="0082493C" w:rsidP="0082493C">
      <w:pPr>
        <w:pStyle w:val="Heading1"/>
        <w:rPr>
          <w:rFonts w:eastAsia="SimSun"/>
        </w:rPr>
      </w:pPr>
      <w:r>
        <w:rPr>
          <w:rFonts w:eastAsia="SimSun"/>
        </w:rPr>
        <w:t>On encoding of Type I CSI parameters on PUCCH</w:t>
      </w:r>
    </w:p>
    <w:p w14:paraId="5B05FEE6" w14:textId="39EB91DB" w:rsidR="0082493C" w:rsidRDefault="0082493C" w:rsidP="0082493C">
      <w:pPr>
        <w:rPr>
          <w:rFonts w:eastAsiaTheme="minorEastAsia"/>
          <w:lang w:val="en-GB" w:eastAsia="zh-CN"/>
        </w:rPr>
      </w:pPr>
      <w:r>
        <w:rPr>
          <w:lang w:val="en-GB" w:eastAsia="zh-CN"/>
        </w:rPr>
        <w:t xml:space="preserve">As observed in </w:t>
      </w:r>
      <w:r>
        <w:rPr>
          <w:lang w:val="en-GB" w:eastAsia="zh-CN"/>
        </w:rPr>
        <w:fldChar w:fldCharType="begin"/>
      </w:r>
      <w:r>
        <w:rPr>
          <w:lang w:val="en-GB" w:eastAsia="zh-CN"/>
        </w:rPr>
        <w:instrText xml:space="preserve"> REF _Ref490132338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the size of CQI and PMI fields depends on the reported RI. Thus, if PMI/CQI/RI/CRI are all reported in a single-slot PUCCH report (as we propose in </w:t>
      </w:r>
      <w:r>
        <w:rPr>
          <w:lang w:val="en-GB" w:eastAsia="zh-CN"/>
        </w:rPr>
        <w:fldChar w:fldCharType="begin"/>
      </w:r>
      <w:r>
        <w:rPr>
          <w:lang w:val="en-GB" w:eastAsia="zh-CN"/>
        </w:rPr>
        <w:instrText xml:space="preserve"> REF _Ref490132461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r w:rsidR="007F7CDA">
        <w:rPr>
          <w:lang w:val="en-GB" w:eastAsia="zh-CN"/>
        </w:rPr>
        <w:t xml:space="preserve"> and a single channel coding block is used</w:t>
      </w:r>
      <w:r>
        <w:rPr>
          <w:lang w:val="en-GB" w:eastAsia="zh-CN"/>
        </w:rPr>
        <w:t xml:space="preserve">, payload ambiguity needs to be resolved. If maximum rank-4 is supported for periodic reporting on PUCCH (as is also proposed in </w:t>
      </w:r>
      <w:r>
        <w:rPr>
          <w:lang w:val="en-GB" w:eastAsia="zh-CN"/>
        </w:rPr>
        <w:fldChar w:fldCharType="begin"/>
      </w:r>
      <w:r>
        <w:rPr>
          <w:lang w:val="en-GB" w:eastAsia="zh-CN"/>
        </w:rPr>
        <w:instrText xml:space="preserve"> REF _Ref490132461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only single CQI is needed and thus CQI field size will not depend on RI, whic</w:t>
      </w:r>
      <w:r w:rsidR="00B448AE">
        <w:rPr>
          <w:lang w:val="en-GB" w:eastAsia="zh-CN"/>
        </w:rPr>
        <w:t xml:space="preserve">h partially solves the problem. The remaining ambiguity can then be solved by jointly encoding RI and PMI, so that </w:t>
      </w:r>
      <w:r w:rsidR="00B448AE">
        <w:rPr>
          <w:rFonts w:eastAsiaTheme="minorEastAsia"/>
          <w:lang w:val="en-GB" w:eastAsia="zh-CN"/>
        </w:rPr>
        <w:t xml:space="preserve">a payload size of </w:t>
      </w:r>
      <m:oMath>
        <m:d>
          <m:dPr>
            <m:begChr m:val="⌈"/>
            <m:endChr m:val="⌉"/>
            <m:ctrlPr>
              <w:rPr>
                <w:rFonts w:ascii="Cambria Math" w:hAnsi="Cambria Math"/>
                <w:i/>
                <w:lang w:val="en-GB" w:eastAsia="zh-CN"/>
              </w:rPr>
            </m:ctrlPr>
          </m:dPr>
          <m:e>
            <m:func>
              <m:funcPr>
                <m:ctrlPr>
                  <w:rPr>
                    <w:rFonts w:ascii="Cambria Math" w:hAnsi="Cambria Math"/>
                    <w:i/>
                    <w:lang w:val="en-GB" w:eastAsia="zh-CN"/>
                  </w:rPr>
                </m:ctrlPr>
              </m:funcPr>
              <m:fName>
                <m:sSub>
                  <m:sSubPr>
                    <m:ctrlPr>
                      <w:rPr>
                        <w:rFonts w:ascii="Cambria Math" w:hAnsi="Cambria Math"/>
                        <w:i/>
                        <w:lang w:val="en-GB" w:eastAsia="zh-CN"/>
                      </w:rPr>
                    </m:ctrlPr>
                  </m:sSubPr>
                  <m:e>
                    <m:r>
                      <m:rPr>
                        <m:sty m:val="p"/>
                      </m:rPr>
                      <w:rPr>
                        <w:rFonts w:ascii="Cambria Math" w:hAnsi="Cambria Math"/>
                        <w:lang w:val="en-GB" w:eastAsia="zh-CN"/>
                      </w:rPr>
                      <m:t>log</m:t>
                    </m:r>
                    <m:ctrlPr>
                      <w:rPr>
                        <w:rFonts w:ascii="Cambria Math" w:hAnsi="Cambria Math"/>
                        <w:lang w:val="en-GB" w:eastAsia="zh-CN"/>
                      </w:rPr>
                    </m:ctrlPr>
                  </m:e>
                  <m:sub>
                    <m:r>
                      <w:rPr>
                        <w:rFonts w:ascii="Cambria Math" w:hAnsi="Cambria Math"/>
                        <w:lang w:val="en-GB" w:eastAsia="zh-CN"/>
                      </w:rPr>
                      <m:t>2</m:t>
                    </m:r>
                    <m:ctrlPr>
                      <w:rPr>
                        <w:rFonts w:ascii="Cambria Math" w:hAnsi="Cambria Math"/>
                        <w:lang w:val="en-GB" w:eastAsia="zh-CN"/>
                      </w:rPr>
                    </m:ctrlPr>
                  </m:sub>
                </m:sSub>
              </m:fName>
              <m:e>
                <m:nary>
                  <m:naryPr>
                    <m:chr m:val="∑"/>
                    <m:limLoc m:val="undOvr"/>
                    <m:ctrlPr>
                      <w:rPr>
                        <w:rFonts w:ascii="Cambria Math" w:hAnsi="Cambria Math"/>
                        <w:i/>
                        <w:lang w:val="en-GB" w:eastAsia="zh-CN"/>
                      </w:rPr>
                    </m:ctrlPr>
                  </m:naryPr>
                  <m:sub>
                    <m:r>
                      <w:rPr>
                        <w:rFonts w:ascii="Cambria Math" w:hAnsi="Cambria Math"/>
                        <w:lang w:val="en-GB" w:eastAsia="zh-CN"/>
                      </w:rPr>
                      <m:t>v=1</m:t>
                    </m:r>
                  </m:sub>
                  <m:sup>
                    <m:r>
                      <w:rPr>
                        <w:rFonts w:ascii="Cambria Math" w:hAnsi="Cambria Math"/>
                        <w:lang w:val="en-GB" w:eastAsia="zh-CN"/>
                      </w:rPr>
                      <m:t>4</m:t>
                    </m:r>
                  </m:sup>
                  <m:e>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PMI</m:t>
                        </m:r>
                      </m:sub>
                      <m:sup>
                        <m:r>
                          <w:rPr>
                            <w:rFonts w:ascii="Cambria Math" w:hAnsi="Cambria Math"/>
                            <w:lang w:val="en-GB" w:eastAsia="zh-CN"/>
                          </w:rPr>
                          <m:t>(v)</m:t>
                        </m:r>
                      </m:sup>
                    </m:sSubSup>
                  </m:e>
                </m:nary>
              </m:e>
            </m:func>
          </m:e>
        </m:d>
      </m:oMath>
      <w:r w:rsidR="00B448AE">
        <w:rPr>
          <w:rFonts w:eastAsiaTheme="minorEastAsia"/>
          <w:lang w:val="en-GB" w:eastAsia="zh-CN"/>
        </w:rPr>
        <w:t xml:space="preserve"> is always used independent of RI.</w:t>
      </w:r>
    </w:p>
    <w:p w14:paraId="1D4761D7" w14:textId="36C46813" w:rsidR="007F7CDA" w:rsidRDefault="007F7CDA" w:rsidP="0082493C">
      <w:pPr>
        <w:rPr>
          <w:rFonts w:eastAsiaTheme="minorEastAsia"/>
          <w:lang w:val="en-GB" w:eastAsia="zh-CN"/>
        </w:rPr>
      </w:pPr>
      <w:r>
        <w:rPr>
          <w:rFonts w:eastAsiaTheme="minorEastAsia"/>
          <w:lang w:val="en-GB" w:eastAsia="zh-CN"/>
        </w:rPr>
        <w:t>Another approach is to use separate channel coding blocks for RI and PMI/CQI and concatenate the encoded output bits. Since RI payload is known, it can be decoded in a first step, informing the UE about the payload size of the variably-sized PMI/CQI fields which may then be decoded in a second step. However, this approach may result in reduced coding gain. We therefore propose:</w:t>
      </w:r>
    </w:p>
    <w:p w14:paraId="68200291" w14:textId="28B17F64" w:rsidR="00B448AE" w:rsidRPr="0082493C" w:rsidRDefault="007F7CDA" w:rsidP="00B448AE">
      <w:pPr>
        <w:pStyle w:val="Proposal"/>
        <w:rPr>
          <w:lang w:val="en-GB" w:eastAsia="zh-CN"/>
        </w:rPr>
      </w:pPr>
      <w:bookmarkStart w:id="51" w:name="_Toc490135175"/>
      <w:bookmarkStart w:id="52" w:name="_Toc490220183"/>
      <w:r>
        <w:rPr>
          <w:lang w:val="en-GB" w:eastAsia="zh-CN"/>
        </w:rPr>
        <w:t xml:space="preserve">CSI </w:t>
      </w:r>
      <w:r w:rsidR="00161982">
        <w:rPr>
          <w:lang w:val="en-GB" w:eastAsia="zh-CN"/>
        </w:rPr>
        <w:t xml:space="preserve">reporting </w:t>
      </w:r>
      <w:r>
        <w:rPr>
          <w:lang w:val="en-GB" w:eastAsia="zh-CN"/>
        </w:rPr>
        <w:t xml:space="preserve">for PUCCH uses single channel coding block. </w:t>
      </w:r>
      <w:r w:rsidR="00B448AE">
        <w:rPr>
          <w:lang w:val="en-GB" w:eastAsia="zh-CN"/>
        </w:rPr>
        <w:t xml:space="preserve">RI and PMI </w:t>
      </w:r>
      <w:r>
        <w:rPr>
          <w:lang w:val="en-GB" w:eastAsia="zh-CN"/>
        </w:rPr>
        <w:t xml:space="preserve">are jointly encoded in a single field </w:t>
      </w:r>
      <w:r w:rsidR="00B448AE">
        <w:rPr>
          <w:lang w:val="en-GB" w:eastAsia="zh-CN"/>
        </w:rPr>
        <w:t>to solve payload ambiguity</w:t>
      </w:r>
      <w:bookmarkEnd w:id="51"/>
      <w:r w:rsidR="00161982">
        <w:rPr>
          <w:lang w:val="en-GB" w:eastAsia="zh-CN"/>
        </w:rPr>
        <w:t>.</w:t>
      </w:r>
      <w:bookmarkEnd w:id="52"/>
    </w:p>
    <w:p w14:paraId="7AE71505" w14:textId="5FA96A1D" w:rsidR="00261768" w:rsidRDefault="00B448AE" w:rsidP="00B448AE">
      <w:pPr>
        <w:pStyle w:val="Heading1"/>
        <w:rPr>
          <w:rFonts w:eastAsia="SimSun"/>
        </w:rPr>
      </w:pPr>
      <w:r>
        <w:rPr>
          <w:rFonts w:eastAsia="SimSun"/>
        </w:rPr>
        <w:t>On split PUCCH / PUSCH reporting for Type II CSI</w:t>
      </w:r>
    </w:p>
    <w:p w14:paraId="0158CA1C" w14:textId="41D2F291" w:rsidR="00B448AE" w:rsidRDefault="00D20955" w:rsidP="00B448AE">
      <w:pPr>
        <w:rPr>
          <w:rFonts w:eastAsiaTheme="minorEastAsia"/>
          <w:lang w:val="en-GB" w:eastAsia="zh-CN"/>
        </w:rPr>
      </w:pPr>
      <w:r>
        <w:rPr>
          <w:lang w:val="en-GB" w:eastAsia="zh-CN"/>
        </w:rPr>
        <w:t>As</w:t>
      </w:r>
      <w:r w:rsidR="00B448AE">
        <w:rPr>
          <w:lang w:val="en-GB" w:eastAsia="zh-CN"/>
        </w:rPr>
        <w:t xml:space="preserve"> payload size for a Type II report can vary depending on RI and RPI, one issue is how to dimension the PUSCH allocation to fit the CSI report. Without prior information, </w:t>
      </w:r>
      <w:r>
        <w:rPr>
          <w:lang w:val="en-GB" w:eastAsia="zh-CN"/>
        </w:rPr>
        <w:t>the PUSCH allocation in case of UCI only PUSCH would have to be set assuming RI=2 is selected and that no RPI</w:t>
      </w:r>
      <m:oMath>
        <m:r>
          <w:rPr>
            <w:rFonts w:ascii="Cambria Math" w:hAnsi="Cambria Math"/>
            <w:lang w:val="en-GB" w:eastAsia="zh-CN"/>
          </w:rPr>
          <m:t xml:space="preserve"> ≠0</m:t>
        </m:r>
      </m:oMath>
      <w:r>
        <w:rPr>
          <w:lang w:val="en-GB" w:eastAsia="zh-CN"/>
        </w:rPr>
        <w:t xml:space="preserve">, i.e. possibly over-dimensioning the allocation. In </w:t>
      </w:r>
      <w:r>
        <w:rPr>
          <w:lang w:val="en-GB" w:eastAsia="zh-CN"/>
        </w:rPr>
        <w:fldChar w:fldCharType="begin"/>
      </w:r>
      <w:r>
        <w:rPr>
          <w:lang w:val="en-GB" w:eastAsia="zh-CN"/>
        </w:rPr>
        <w:instrText xml:space="preserve"> REF _Ref490133754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one proposal to solve this issue is to split the Type II report so that the parameters defining the payload size (RI, </w:t>
      </w:r>
      <m:oMath>
        <m:r>
          <m:rPr>
            <m:sty m:val="p"/>
          </m:rPr>
          <w:rPr>
            <w:rFonts w:ascii="Cambria Math" w:hAnsi="Cambria Math"/>
            <w:lang w:val="en-GB" w:eastAsia="zh-CN"/>
          </w:rPr>
          <m:t>RP</m:t>
        </m:r>
        <m:sSub>
          <m:sSubPr>
            <m:ctrlPr>
              <w:rPr>
                <w:rFonts w:ascii="Cambria Math" w:hAnsi="Cambria Math"/>
                <w:lang w:val="en-GB" w:eastAsia="zh-CN"/>
              </w:rPr>
            </m:ctrlPr>
          </m:sSubPr>
          <m:e>
            <m:r>
              <m:rPr>
                <m:sty m:val="p"/>
              </m:rPr>
              <w:rPr>
                <w:rFonts w:ascii="Cambria Math" w:hAnsi="Cambria Math"/>
                <w:lang w:val="en-GB" w:eastAsia="zh-CN"/>
              </w:rPr>
              <m:t>I</m:t>
            </m:r>
          </m:e>
          <m:sub>
            <m:r>
              <m:rPr>
                <m:sty m:val="p"/>
              </m:rPr>
              <w:rPr>
                <w:rFonts w:ascii="Cambria Math" w:hAnsi="Cambria Math"/>
                <w:lang w:val="en-GB" w:eastAsia="zh-CN"/>
              </w:rPr>
              <m:t>1</m:t>
            </m:r>
          </m:sub>
        </m:sSub>
        <m:r>
          <w:rPr>
            <w:rFonts w:ascii="Cambria Math" w:hAnsi="Cambria Math"/>
            <w:lang w:val="en-GB" w:eastAsia="zh-CN"/>
          </w:rPr>
          <m:t>,</m:t>
        </m:r>
        <m:r>
          <m:rPr>
            <m:sty m:val="p"/>
          </m:rPr>
          <w:rPr>
            <w:rFonts w:ascii="Cambria Math" w:hAnsi="Cambria Math"/>
            <w:lang w:val="en-GB" w:eastAsia="zh-CN"/>
          </w:rPr>
          <m:t>RP</m:t>
        </m:r>
        <m:sSub>
          <m:sSubPr>
            <m:ctrlPr>
              <w:rPr>
                <w:rFonts w:ascii="Cambria Math" w:hAnsi="Cambria Math"/>
                <w:lang w:val="en-GB" w:eastAsia="zh-CN"/>
              </w:rPr>
            </m:ctrlPr>
          </m:sSubPr>
          <m:e>
            <m:r>
              <m:rPr>
                <m:sty m:val="p"/>
              </m:rPr>
              <w:rPr>
                <w:rFonts w:ascii="Cambria Math" w:hAnsi="Cambria Math"/>
                <w:lang w:val="en-GB" w:eastAsia="zh-CN"/>
              </w:rPr>
              <m:t>I</m:t>
            </m:r>
          </m:e>
          <m:sub>
            <m:r>
              <m:rPr>
                <m:sty m:val="p"/>
              </m:rPr>
              <w:rPr>
                <w:rFonts w:ascii="Cambria Math" w:hAnsi="Cambria Math"/>
                <w:lang w:val="en-GB" w:eastAsia="zh-CN"/>
              </w:rPr>
              <m:t>2</m:t>
            </m:r>
          </m:sub>
        </m:sSub>
      </m:oMath>
      <w:r>
        <w:rPr>
          <w:rFonts w:eastAsiaTheme="minorEastAsia"/>
          <w:lang w:val="en-GB" w:eastAsia="zh-CN"/>
        </w:rPr>
        <w:t xml:space="preserve">) is transmitted on PUCCH in a first step and the </w:t>
      </w:r>
      <w:r>
        <w:rPr>
          <w:rFonts w:eastAsiaTheme="minorEastAsia"/>
          <w:lang w:val="en-GB" w:eastAsia="zh-CN"/>
        </w:rPr>
        <w:lastRenderedPageBreak/>
        <w:t>remaining parameters are transmitted on PUSCH in a second step</w:t>
      </w:r>
      <w:r w:rsidR="005004A5">
        <w:rPr>
          <w:rFonts w:eastAsiaTheme="minorEastAsia"/>
          <w:lang w:val="en-GB" w:eastAsia="zh-CN"/>
        </w:rPr>
        <w:t xml:space="preserve">. Based on reception of PUCCH, the payload size of remining Type II PMI is known and PUSCH allocation can be appropriately dimensioned. </w:t>
      </w:r>
    </w:p>
    <w:p w14:paraId="54B06E41" w14:textId="5D382F46" w:rsidR="005004A5" w:rsidRDefault="005004A5" w:rsidP="00B448AE">
      <w:pPr>
        <w:rPr>
          <w:rFonts w:eastAsiaTheme="minorEastAsia"/>
          <w:lang w:val="en-GB" w:eastAsia="zh-CN"/>
        </w:rPr>
      </w:pPr>
      <w:r>
        <w:rPr>
          <w:rFonts w:eastAsiaTheme="minorEastAsia"/>
          <w:lang w:val="en-GB" w:eastAsia="zh-CN"/>
        </w:rPr>
        <w:t xml:space="preserve">However, PUSCH allocation is given in UL-related DCI containing CSI request, so the PUCCH would have to be received before triggering the CSI request, which means that either the PUCCH transmission of a previously triggered report would have to be used, or, the PUCCH and PUSCH reports are independently triggered. In the former case, it is unnecessary to split up the CSI on PUCCH and PUSCH, as the gNB would have received the previous PUSCH report and can use the reported RI/RPI in that report to dimension the UL grant and </w:t>
      </w:r>
      <w:r w:rsidR="00633ED7">
        <w:rPr>
          <w:rFonts w:eastAsiaTheme="minorEastAsia"/>
          <w:lang w:val="en-GB" w:eastAsia="zh-CN"/>
        </w:rPr>
        <w:t xml:space="preserve">it </w:t>
      </w:r>
      <w:r>
        <w:rPr>
          <w:rFonts w:eastAsiaTheme="minorEastAsia"/>
          <w:lang w:val="en-GB" w:eastAsia="zh-CN"/>
        </w:rPr>
        <w:t>furthermore have to assume that the RI/RPI do not change between reports. In the latter case,</w:t>
      </w:r>
      <w:r w:rsidR="00633ED7">
        <w:rPr>
          <w:rFonts w:eastAsiaTheme="minorEastAsia"/>
          <w:lang w:val="en-GB" w:eastAsia="zh-CN"/>
        </w:rPr>
        <w:t xml:space="preserve"> as the reports are independently triggered, there is again no guarantee that the PMI payload size indicated in the PUCCH report will correspond to that in the later PUSCH report. </w:t>
      </w:r>
    </w:p>
    <w:p w14:paraId="4F7A6A7E" w14:textId="0BA814E4" w:rsidR="00633ED7" w:rsidRDefault="00633ED7" w:rsidP="00B448AE">
      <w:pPr>
        <w:rPr>
          <w:rFonts w:eastAsiaTheme="minorEastAsia"/>
          <w:lang w:val="en-GB" w:eastAsia="zh-CN"/>
        </w:rPr>
      </w:pPr>
      <w:r>
        <w:rPr>
          <w:rFonts w:eastAsiaTheme="minorEastAsia"/>
          <w:lang w:val="en-GB" w:eastAsia="zh-CN"/>
        </w:rPr>
        <w:t>Thus, we observe that dimensioning UL grant for PUSCH containing Type II PMI based on RI/RPI in previously received report may work sufficiently well and it is not clear that split PUCCH / PUSCH reporting can bring additional benefit, but the issue can be studied further.</w:t>
      </w:r>
    </w:p>
    <w:p w14:paraId="2D363005" w14:textId="001D8574" w:rsidR="00633ED7" w:rsidRPr="00B448AE" w:rsidRDefault="00633ED7" w:rsidP="00633ED7">
      <w:pPr>
        <w:pStyle w:val="Observation"/>
        <w:rPr>
          <w:lang w:val="en-GB" w:eastAsia="zh-CN"/>
        </w:rPr>
      </w:pPr>
      <w:bookmarkStart w:id="53" w:name="_Toc490248137"/>
      <w:r>
        <w:rPr>
          <w:lang w:val="en-GB" w:eastAsia="zh-CN"/>
        </w:rPr>
        <w:t xml:space="preserve">Resource allocation for PUSCH containing Type II PMI can be based </w:t>
      </w:r>
      <w:r>
        <w:rPr>
          <w:rFonts w:eastAsiaTheme="minorEastAsia"/>
          <w:lang w:val="en-GB" w:eastAsia="zh-CN"/>
        </w:rPr>
        <w:t>on RI/RPI in previously received Type II report</w:t>
      </w:r>
      <w:bookmarkEnd w:id="53"/>
    </w:p>
    <w:p w14:paraId="4B8AD65A" w14:textId="77777777" w:rsidR="00261768" w:rsidRDefault="00261768" w:rsidP="00261768">
      <w:pPr>
        <w:pStyle w:val="Heading1"/>
      </w:pPr>
      <w:r>
        <w:t>On omitting CSI parameters</w:t>
      </w:r>
    </w:p>
    <w:p w14:paraId="284E0E18" w14:textId="77777777" w:rsidR="00261768" w:rsidRDefault="00261768" w:rsidP="00261768">
      <w:pPr>
        <w:spacing w:after="0"/>
        <w:rPr>
          <w:rFonts w:eastAsia="MS Mincho"/>
          <w:lang w:eastAsia="ja-JP"/>
        </w:rPr>
      </w:pPr>
      <w:r>
        <w:t xml:space="preserve">According to a prior agreement, at least some combinations of CSI parameters (e.g. RI, PMI, CQI, CRI) can </w:t>
      </w:r>
      <w:r w:rsidRPr="00AB0C86">
        <w:rPr>
          <w:rFonts w:eastAsia="MS Mincho"/>
          <w:lang w:eastAsia="ja-JP"/>
        </w:rPr>
        <w:t>be configured to be omitted from reporting within a CSI reporting setting</w:t>
      </w:r>
      <w:r>
        <w:rPr>
          <w:rFonts w:eastAsia="MS Mincho"/>
          <w:lang w:eastAsia="ja-JP"/>
        </w:rPr>
        <w:t xml:space="preserve">. As non-PMI feedback is supported, this agreement has been fulfilled and it is unclear if any other combinations of CSI parameters should be allowed to be omitted. The use case for omitting some CSI parameters could for instance be in hybrid reporting where a (partial) PMI could be reported without e.g. CQI. However, in our view, the overhead saving from omitting some CSI parameters is generally quite small while it complicates the CSI feedback design. </w:t>
      </w:r>
    </w:p>
    <w:p w14:paraId="557F6890" w14:textId="77777777" w:rsidR="00261768" w:rsidRDefault="00261768" w:rsidP="00261768">
      <w:pPr>
        <w:spacing w:after="0"/>
        <w:rPr>
          <w:rFonts w:eastAsia="MS Mincho"/>
          <w:lang w:eastAsia="ja-JP"/>
        </w:rPr>
      </w:pPr>
    </w:p>
    <w:p w14:paraId="13DB3ED9" w14:textId="77777777" w:rsidR="00261768" w:rsidRDefault="00261768" w:rsidP="00261768">
      <w:pPr>
        <w:pStyle w:val="Observation"/>
        <w:rPr>
          <w:rFonts w:eastAsia="MS Mincho"/>
          <w:lang w:eastAsia="ja-JP"/>
        </w:rPr>
      </w:pPr>
      <w:bookmarkStart w:id="54" w:name="_Toc485417252"/>
      <w:bookmarkStart w:id="55" w:name="_Toc490248138"/>
      <w:r>
        <w:rPr>
          <w:rFonts w:eastAsia="MS Mincho"/>
          <w:lang w:eastAsia="ja-JP"/>
        </w:rPr>
        <w:t>Unclear if any other combinations of CSI parameters other than the already agreed non-PMI feedback needs to be supported</w:t>
      </w:r>
      <w:bookmarkEnd w:id="54"/>
      <w:bookmarkEnd w:id="55"/>
    </w:p>
    <w:p w14:paraId="3C7765D8" w14:textId="77777777" w:rsidR="00261768" w:rsidRPr="003A0E41" w:rsidRDefault="00261768" w:rsidP="00557CFB"/>
    <w:p w14:paraId="56327F3C" w14:textId="77777777" w:rsidR="00C01F33" w:rsidRPr="00CE0424" w:rsidRDefault="00C01F33" w:rsidP="003A0E41">
      <w:pPr>
        <w:pStyle w:val="Heading1"/>
      </w:pPr>
      <w:r w:rsidRPr="00CE0424">
        <w:t>Conclusion</w:t>
      </w:r>
      <w:r w:rsidR="00AE2FEB">
        <w:t>s</w:t>
      </w:r>
    </w:p>
    <w:p w14:paraId="6A4817C8" w14:textId="2894FA9A" w:rsidR="002451ED" w:rsidRDefault="002D1FB1" w:rsidP="008E065E">
      <w:pPr>
        <w:pStyle w:val="BodyText"/>
      </w:pPr>
      <w:r>
        <w:t>In this contribution, we have discussed the encoding of CSI parameters for Type I and Type II CSI feedback, we have made the following observations and proposals:</w:t>
      </w:r>
    </w:p>
    <w:p w14:paraId="3F6FBFAC" w14:textId="250F3AEF" w:rsidR="004620D6" w:rsidRDefault="00E5689D">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\n \h \z \t "Observation,1" </w:instrText>
      </w:r>
      <w:r>
        <w:rPr>
          <w:b w:val="0"/>
          <w:bCs/>
        </w:rPr>
        <w:fldChar w:fldCharType="separate"/>
      </w:r>
      <w:hyperlink w:anchor="_Toc490248136" w:history="1">
        <w:r w:rsidR="004620D6" w:rsidRPr="002C46EA">
          <w:rPr>
            <w:rStyle w:val="Hyperlink"/>
            <w:rFonts w:eastAsia="SimSun"/>
          </w:rPr>
          <w:t>Observation 1</w:t>
        </w:r>
        <w:r w:rsidR="004620D6">
          <w:rPr>
            <w:rFonts w:asciiTheme="minorHAnsi" w:eastAsiaTheme="minorEastAsia" w:hAnsiTheme="minorHAnsi" w:cstheme="minorBidi"/>
            <w:b w:val="0"/>
            <w:sz w:val="22"/>
            <w:lang w:eastAsia="en-US"/>
          </w:rPr>
          <w:tab/>
        </w:r>
        <w:r w:rsidR="004620D6" w:rsidRPr="002C46EA">
          <w:rPr>
            <w:rStyle w:val="Hyperlink"/>
            <w:rFonts w:eastAsia="SimSun"/>
          </w:rPr>
          <w:t>As Type II PMI payload size depends on both RI and RPI, the PMI report must be divided in at least three PMI parameter sets, where each set can be jointly encoded</w:t>
        </w:r>
      </w:hyperlink>
    </w:p>
    <w:p w14:paraId="3D190BB7" w14:textId="4E1C425E" w:rsidR="004620D6" w:rsidRDefault="004620D6">
      <w:pPr>
        <w:pStyle w:val="TOC1"/>
        <w:rPr>
          <w:rFonts w:asciiTheme="minorHAnsi" w:eastAsiaTheme="minorEastAsia" w:hAnsiTheme="minorHAnsi" w:cstheme="minorBidi"/>
          <w:b w:val="0"/>
          <w:sz w:val="22"/>
          <w:lang w:eastAsia="en-US"/>
        </w:rPr>
      </w:pPr>
      <w:hyperlink w:anchor="_Toc490248137" w:history="1">
        <w:r w:rsidRPr="002C46EA">
          <w:rPr>
            <w:rStyle w:val="Hyperlink"/>
          </w:rPr>
          <w:t>Observation 2</w:t>
        </w:r>
        <w:r>
          <w:rPr>
            <w:rFonts w:asciiTheme="minorHAnsi" w:eastAsiaTheme="minorEastAsia" w:hAnsiTheme="minorHAnsi" w:cstheme="minorBidi"/>
            <w:b w:val="0"/>
            <w:sz w:val="22"/>
            <w:lang w:eastAsia="en-US"/>
          </w:rPr>
          <w:tab/>
        </w:r>
        <w:r w:rsidRPr="002C46EA">
          <w:rPr>
            <w:rStyle w:val="Hyperlink"/>
          </w:rPr>
          <w:t>Resource allocation for PUSCH containing Type II PMI can be based on RI/RPI in previously received Type II report</w:t>
        </w:r>
      </w:hyperlink>
    </w:p>
    <w:p w14:paraId="04E34A58" w14:textId="605FB79A" w:rsidR="004620D6" w:rsidRDefault="004620D6">
      <w:pPr>
        <w:pStyle w:val="TOC1"/>
        <w:rPr>
          <w:rFonts w:asciiTheme="minorHAnsi" w:eastAsiaTheme="minorEastAsia" w:hAnsiTheme="minorHAnsi" w:cstheme="minorBidi"/>
          <w:b w:val="0"/>
          <w:sz w:val="22"/>
          <w:lang w:eastAsia="en-US"/>
        </w:rPr>
      </w:pPr>
      <w:hyperlink w:anchor="_Toc490248138" w:history="1">
        <w:r w:rsidRPr="002C46EA">
          <w:rPr>
            <w:rStyle w:val="Hyperlink"/>
            <w:rFonts w:eastAsia="MS Mincho"/>
            <w:lang w:eastAsia="ja-JP"/>
          </w:rPr>
          <w:t>Observation 3</w:t>
        </w:r>
        <w:r>
          <w:rPr>
            <w:rFonts w:asciiTheme="minorHAnsi" w:eastAsiaTheme="minorEastAsia" w:hAnsiTheme="minorHAnsi" w:cstheme="minorBidi"/>
            <w:b w:val="0"/>
            <w:sz w:val="22"/>
            <w:lang w:eastAsia="en-US"/>
          </w:rPr>
          <w:tab/>
        </w:r>
        <w:r w:rsidRPr="002C46EA">
          <w:rPr>
            <w:rStyle w:val="Hyperlink"/>
            <w:rFonts w:eastAsia="MS Mincho"/>
            <w:lang w:eastAsia="ja-JP"/>
          </w:rPr>
          <w:t>Unclear if any other combinations of CSI parameters other than the already agreed non-PMI feedback needs to be supported</w:t>
        </w:r>
      </w:hyperlink>
    </w:p>
    <w:p w14:paraId="043B99B6" w14:textId="1D78D428" w:rsidR="00161982" w:rsidRDefault="00E5689D">
      <w:pPr>
        <w:pStyle w:val="TOC1"/>
      </w:pPr>
      <w:r>
        <w:rPr>
          <w:bCs/>
        </w:rPr>
        <w:fldChar w:fldCharType="end"/>
      </w:r>
      <w:r>
        <w:rPr>
          <w:b w:val="0"/>
          <w:bCs/>
        </w:rPr>
        <w:fldChar w:fldCharType="begin"/>
      </w:r>
      <w:r>
        <w:rPr>
          <w:bCs/>
        </w:rPr>
        <w:instrText xml:space="preserve"> TOC \f \n \p " " \t "Proposal,1" </w:instrText>
      </w:r>
      <w:r>
        <w:rPr>
          <w:b w:val="0"/>
          <w:bCs/>
        </w:rPr>
        <w:fldChar w:fldCharType="separate"/>
      </w:r>
    </w:p>
    <w:p w14:paraId="7D847FD4" w14:textId="77777777" w:rsidR="00161982" w:rsidRDefault="0016198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Type I CSI reporting, PMI consist of</w:t>
      </w:r>
    </w:p>
    <w:p w14:paraId="5F28E85E" w14:textId="77777777" w:rsidR="00161982" w:rsidRDefault="00161982">
      <w:pPr>
        <w:pStyle w:val="TOC1"/>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For single-panel codebooks ranks 1,5-8:</w:t>
      </w:r>
    </w:p>
    <w:p w14:paraId="3F673DD5" w14:textId="77777777" w:rsidR="00161982" w:rsidRDefault="00161982" w:rsidP="00161982">
      <w:pPr>
        <w:pStyle w:val="TOC1"/>
        <w:ind w:left="2268"/>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
          </m:rPr>
          <w:rPr>
            <w:rFonts w:ascii="Cambria Math" w:hAnsi="Cambria Math"/>
          </w:rPr>
          <m:t>i1</m:t>
        </m:r>
      </m:oMath>
      <w:r>
        <w:t xml:space="preserve"> index comprising the pair </w:t>
      </w:r>
      <m:oMath>
        <m:r>
          <m:rPr>
            <m:sty m:val="b"/>
          </m:rPr>
          <w:rPr>
            <w:rFonts w:ascii="Cambria Math" w:hAnsi="Cambria Math"/>
          </w:rPr>
          <m:t>i1,1,i1,2</m:t>
        </m:r>
      </m:oMath>
    </w:p>
    <w:p w14:paraId="76BBEC7E" w14:textId="77777777" w:rsidR="00161982" w:rsidRDefault="00161982" w:rsidP="00161982">
      <w:pPr>
        <w:pStyle w:val="TOC1"/>
        <w:ind w:left="2268"/>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 xml:space="preserve">Subband </w:t>
      </w:r>
      <m:oMath>
        <m:r>
          <m:rPr>
            <m:sty m:val="b"/>
          </m:rPr>
          <w:rPr>
            <w:rFonts w:ascii="Cambria Math" w:hAnsi="Cambria Math"/>
          </w:rPr>
          <m:t>i2</m:t>
        </m:r>
      </m:oMath>
      <w:r w:rsidRPr="003D0BF3">
        <w:rPr>
          <w:b w:val="0"/>
        </w:rPr>
        <w:t xml:space="preserve"> </w:t>
      </w:r>
      <w:r>
        <w:t>index representing polarization/panel/group cophasing and/or SB beam selection</w:t>
      </w:r>
    </w:p>
    <w:p w14:paraId="226C8EFE" w14:textId="77777777" w:rsidR="00161982" w:rsidRDefault="00161982">
      <w:pPr>
        <w:pStyle w:val="TOC1"/>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For single-panel codebooks ranks 2-4 and multi-panel codebooks:</w:t>
      </w:r>
    </w:p>
    <w:p w14:paraId="39B66B6F" w14:textId="77777777" w:rsidR="00161982" w:rsidRDefault="00161982" w:rsidP="00161982">
      <w:pPr>
        <w:pStyle w:val="TOC1"/>
        <w:ind w:left="2268"/>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
          </m:rPr>
          <w:rPr>
            <w:rFonts w:ascii="Cambria Math" w:hAnsi="Cambria Math"/>
          </w:rPr>
          <m:t>i1</m:t>
        </m:r>
      </m:oMath>
      <w:r>
        <w:t xml:space="preserve"> index comprising the triplet </w:t>
      </w:r>
      <m:oMath>
        <m:r>
          <m:rPr>
            <m:sty m:val="b"/>
          </m:rPr>
          <w:rPr>
            <w:rFonts w:ascii="Cambria Math" w:hAnsi="Cambria Math"/>
          </w:rPr>
          <m:t>i1,1,i1,2,m</m:t>
        </m:r>
      </m:oMath>
      <w:r>
        <w:t xml:space="preserve">, where </w:t>
      </w:r>
      <m:oMath>
        <m:r>
          <m:rPr>
            <m:sty m:val="b"/>
          </m:rPr>
          <w:rPr>
            <w:rFonts w:ascii="Cambria Math" w:hAnsi="Cambria Math"/>
          </w:rPr>
          <m:t>m</m:t>
        </m:r>
      </m:oMath>
      <w:r w:rsidRPr="003D0BF3">
        <w:rPr>
          <w:b w:val="0"/>
        </w:rPr>
        <w:t xml:space="preserve"> </w:t>
      </w:r>
      <w:r>
        <w:t>represents inter-panel/group cophasing or orthogonal beam offset</w:t>
      </w:r>
    </w:p>
    <w:p w14:paraId="26444DE7" w14:textId="77777777" w:rsidR="00161982" w:rsidRDefault="00161982" w:rsidP="00161982">
      <w:pPr>
        <w:pStyle w:val="TOC1"/>
        <w:ind w:left="2268"/>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 xml:space="preserve">Subband </w:t>
      </w:r>
      <m:oMath>
        <m:r>
          <m:rPr>
            <m:sty m:val="b"/>
          </m:rPr>
          <w:rPr>
            <w:rFonts w:ascii="Cambria Math" w:hAnsi="Cambria Math"/>
          </w:rPr>
          <m:t>i2</m:t>
        </m:r>
      </m:oMath>
      <w:r w:rsidRPr="003D0BF3">
        <w:rPr>
          <w:b w:val="0"/>
        </w:rPr>
        <w:t xml:space="preserve"> </w:t>
      </w:r>
      <w:r>
        <w:t>index representing polarization/panel/group cophasing and/or SB beam selection</w:t>
      </w:r>
    </w:p>
    <w:p w14:paraId="256D62D3" w14:textId="77777777" w:rsidR="00161982" w:rsidRDefault="0016198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Type II CSI parameters consist of CQI, PMI and RI</w:t>
      </w:r>
    </w:p>
    <w:p w14:paraId="7074EC33" w14:textId="77777777" w:rsidR="00161982" w:rsidRDefault="0016198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Type II CSI reporting, PMI consist of</w:t>
      </w:r>
    </w:p>
    <w:p w14:paraId="50965F88" w14:textId="77777777" w:rsidR="00161982" w:rsidRDefault="00161982" w:rsidP="00161982">
      <w:pPr>
        <w:pStyle w:val="TOC1"/>
        <w:ind w:left="2268"/>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
          </m:rPr>
          <w:rPr>
            <w:rFonts w:ascii="Cambria Math" w:hAnsi="Cambria Math"/>
          </w:rPr>
          <m:t>i1</m:t>
        </m:r>
      </m:oMath>
      <w:r>
        <w:t xml:space="preserve"> index indicating beam selection, comprising the triplet </w:t>
      </w:r>
      <m:oMath>
        <m:r>
          <m:rPr>
            <m:sty m:val="b"/>
          </m:rPr>
          <w:rPr>
            <w:rFonts w:ascii="Cambria Math" w:eastAsia="SimSun" w:hAnsi="Cambria Math"/>
          </w:rPr>
          <m:t>{q1,q2,r}</m:t>
        </m:r>
      </m:oMath>
    </w:p>
    <w:p w14:paraId="33DBB9C0" w14:textId="77777777" w:rsidR="00161982" w:rsidRDefault="00161982" w:rsidP="00161982">
      <w:pPr>
        <w:pStyle w:val="TOC1"/>
        <w:ind w:left="2268"/>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 xml:space="preserve">Wideband </w:t>
      </w:r>
      <m:oMath>
        <m:r>
          <m:rPr>
            <m:sty m:val="b"/>
          </m:rPr>
          <w:rPr>
            <w:rFonts w:ascii="Cambria Math" w:eastAsia="SimSun" w:hAnsi="Cambria Math"/>
          </w:rPr>
          <m:t>RPI</m:t>
        </m:r>
        <m:r>
          <m:rPr>
            <m:sty m:val="b"/>
          </m:rPr>
          <w:rPr>
            <w:rFonts w:ascii="Cambria Math" w:eastAsia="SimSun" w:hAnsi="Cambria Math" w:cs="Cambria Math"/>
          </w:rPr>
          <m:t>1</m:t>
        </m:r>
      </m:oMath>
      <w:r>
        <w:t xml:space="preserve"> and </w:t>
      </w:r>
      <m:oMath>
        <m:r>
          <m:rPr>
            <m:sty m:val="b"/>
          </m:rPr>
          <w:rPr>
            <w:rFonts w:ascii="Cambria Math" w:eastAsia="SimSun" w:hAnsi="Cambria Math"/>
          </w:rPr>
          <m:t>RPI2</m:t>
        </m:r>
      </m:oMath>
      <w:r>
        <w:t xml:space="preserve"> indicating beam amplitude for each layer</w:t>
      </w:r>
    </w:p>
    <w:p w14:paraId="0F71D052" w14:textId="77777777" w:rsidR="00161982" w:rsidRDefault="00161982" w:rsidP="00161982">
      <w:pPr>
        <w:pStyle w:val="TOC1"/>
        <w:ind w:left="2268"/>
        <w:rPr>
          <w:rFonts w:asciiTheme="minorHAnsi" w:eastAsiaTheme="minorEastAsia" w:hAnsiTheme="minorHAnsi" w:cstheme="minorBidi"/>
          <w:b w:val="0"/>
          <w:sz w:val="22"/>
          <w:lang w:eastAsia="en-US"/>
        </w:rPr>
      </w:pPr>
      <w:r w:rsidRPr="003D0BF3">
        <w:rPr>
          <w:rFonts w:ascii="Symbol" w:hAnsi="Symbol"/>
          <w:b w:val="0"/>
        </w:rPr>
        <w:t></w:t>
      </w:r>
      <w:r>
        <w:rPr>
          <w:rFonts w:asciiTheme="minorHAnsi" w:eastAsiaTheme="minorEastAsia" w:hAnsiTheme="minorHAnsi" w:cstheme="minorBidi"/>
          <w:b w:val="0"/>
          <w:sz w:val="22"/>
          <w:lang w:eastAsia="en-US"/>
        </w:rPr>
        <w:tab/>
      </w:r>
      <w:r>
        <w:t xml:space="preserve">Subband </w:t>
      </w:r>
      <m:oMath>
        <m:r>
          <m:rPr>
            <m:sty m:val="b"/>
          </m:rPr>
          <w:rPr>
            <w:rFonts w:ascii="Cambria Math" w:eastAsia="SimSun" w:hAnsi="Cambria Math"/>
          </w:rPr>
          <m:t>i2,1</m:t>
        </m:r>
      </m:oMath>
      <w:r>
        <w:t xml:space="preserve"> and </w:t>
      </w:r>
      <m:oMath>
        <m:r>
          <m:rPr>
            <m:sty m:val="b"/>
          </m:rPr>
          <w:rPr>
            <w:rFonts w:ascii="Cambria Math" w:eastAsia="SimSun" w:hAnsi="Cambria Math"/>
          </w:rPr>
          <m:t xml:space="preserve">i2,2 </m:t>
        </m:r>
      </m:oMath>
      <w:r>
        <w:t>indices indicating subband amplitude and phase coefficients</w:t>
      </w:r>
    </w:p>
    <w:p w14:paraId="1C519DE7" w14:textId="77777777" w:rsidR="00161982" w:rsidRDefault="00161982">
      <w:pPr>
        <w:pStyle w:val="TOC1"/>
        <w:rPr>
          <w:rFonts w:asciiTheme="minorHAnsi" w:eastAsiaTheme="minorEastAsia" w:hAnsiTheme="minorHAnsi" w:cstheme="minorBidi"/>
          <w:b w:val="0"/>
          <w:sz w:val="22"/>
          <w:lang w:eastAsia="en-US"/>
        </w:rPr>
      </w:pPr>
      <w:r w:rsidRPr="003D0BF3">
        <w:rPr>
          <w:lang w:val="en-GB"/>
        </w:rPr>
        <w:t>Proposal 4</w:t>
      </w:r>
      <w:r>
        <w:rPr>
          <w:rFonts w:asciiTheme="minorHAnsi" w:eastAsiaTheme="minorEastAsia" w:hAnsiTheme="minorHAnsi" w:cstheme="minorBidi"/>
          <w:b w:val="0"/>
          <w:sz w:val="22"/>
          <w:lang w:eastAsia="en-US"/>
        </w:rPr>
        <w:tab/>
      </w:r>
      <w:r w:rsidRPr="003D0BF3">
        <w:rPr>
          <w:lang w:val="en-GB"/>
        </w:rPr>
        <w:t>CSI reporting for PUCCH uses single channel coding block. RI and PMI are jointly encoded in a single field to solve payload ambiguity.</w:t>
      </w:r>
    </w:p>
    <w:p w14:paraId="60B357CF" w14:textId="412222B7"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56" w:name="_In-sequence_SDU_delivery"/>
      <w:bookmarkEnd w:id="56"/>
      <w:r w:rsidRPr="00CE0424">
        <w:t>References</w:t>
      </w:r>
    </w:p>
    <w:p w14:paraId="3BC9304B" w14:textId="2B48B173" w:rsidR="003A7EF3" w:rsidRDefault="005B324C" w:rsidP="00161982">
      <w:pPr>
        <w:pStyle w:val="Reference"/>
      </w:pPr>
      <w:bookmarkStart w:id="57" w:name="_Ref490132461"/>
      <w:r w:rsidRPr="00161982">
        <w:t>R1-</w:t>
      </w:r>
      <w:bookmarkStart w:id="58" w:name="_GoBack"/>
      <w:bookmarkEnd w:id="58"/>
      <w:r w:rsidR="00161982" w:rsidRPr="00161982">
        <w:t xml:space="preserve">1714284 </w:t>
      </w:r>
      <w:r>
        <w:t>“</w:t>
      </w:r>
      <w:r w:rsidR="00EC745B" w:rsidRPr="005B324C">
        <w:t>Type</w:t>
      </w:r>
      <w:r w:rsidR="00EC745B">
        <w:t xml:space="preserve"> I and Type II CSI reporting”, Ericsson, </w:t>
      </w:r>
      <w:r w:rsidR="0082493C">
        <w:t>RAN1#90 Prague</w:t>
      </w:r>
      <w:bookmarkEnd w:id="57"/>
    </w:p>
    <w:p w14:paraId="60344F6E" w14:textId="2C03BC60" w:rsidR="0082493C" w:rsidRDefault="0082493C" w:rsidP="00BC0B9D">
      <w:pPr>
        <w:pStyle w:val="Reference"/>
        <w:overflowPunct w:val="0"/>
        <w:autoSpaceDE w:val="0"/>
        <w:autoSpaceDN w:val="0"/>
        <w:adjustRightInd w:val="0"/>
        <w:spacing w:after="120" w:line="240" w:lineRule="auto"/>
        <w:jc w:val="both"/>
        <w:textAlignment w:val="baseline"/>
      </w:pPr>
      <w:bookmarkStart w:id="59" w:name="_Ref486521567"/>
      <w:bookmarkStart w:id="60" w:name="_Ref490132338"/>
      <w:r>
        <w:t xml:space="preserve">R1-1711165 </w:t>
      </w:r>
      <w:r w:rsidR="00B448AE">
        <w:t>“</w:t>
      </w:r>
      <w:r>
        <w:t>On Type I and Type II CSI feedback using PUCCH</w:t>
      </w:r>
      <w:r w:rsidR="00B448AE">
        <w:t>”</w:t>
      </w:r>
      <w:r>
        <w:t>,</w:t>
      </w:r>
      <w:r>
        <w:tab/>
        <w:t>Qualcomm Incorporated</w:t>
      </w:r>
      <w:bookmarkEnd w:id="59"/>
      <w:r>
        <w:t>, RAN1#89 NR AH2 Qingdao</w:t>
      </w:r>
      <w:bookmarkEnd w:id="60"/>
    </w:p>
    <w:p w14:paraId="3C2B746E" w14:textId="116B25BE" w:rsidR="00B448AE" w:rsidRPr="00CE0424" w:rsidRDefault="00B448AE" w:rsidP="00BC0B9D">
      <w:pPr>
        <w:pStyle w:val="Reference"/>
        <w:overflowPunct w:val="0"/>
        <w:autoSpaceDE w:val="0"/>
        <w:autoSpaceDN w:val="0"/>
        <w:adjustRightInd w:val="0"/>
        <w:spacing w:after="120" w:line="240" w:lineRule="auto"/>
        <w:jc w:val="both"/>
        <w:textAlignment w:val="baseline"/>
      </w:pPr>
      <w:bookmarkStart w:id="61" w:name="_Ref490133754"/>
      <w:r>
        <w:t>R1-1711081 “Feedback Design for CSI Type II”, NTT DOCOMO, INC, RAN1#89 NR AH2 Qingdao</w:t>
      </w:r>
      <w:bookmarkEnd w:id="61"/>
    </w:p>
    <w:sectPr w:rsidR="00B448AE" w:rsidRPr="00CE0424"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B9215" w14:textId="77777777" w:rsidR="0096446B" w:rsidRDefault="0096446B">
      <w:r>
        <w:separator/>
      </w:r>
    </w:p>
  </w:endnote>
  <w:endnote w:type="continuationSeparator" w:id="0">
    <w:p w14:paraId="03AE4E64" w14:textId="77777777" w:rsidR="0096446B" w:rsidRDefault="0096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F8604" w14:textId="77777777" w:rsidR="00412AD6" w:rsidRDefault="00412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A120C57" w:rsidR="00EB12D8" w:rsidRPr="00412AD6" w:rsidRDefault="00EB12D8" w:rsidP="00412A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46E9" w14:textId="77777777" w:rsidR="00412AD6" w:rsidRDefault="00412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15D05" w14:textId="77777777" w:rsidR="0096446B" w:rsidRDefault="0096446B">
      <w:r>
        <w:separator/>
      </w:r>
    </w:p>
  </w:footnote>
  <w:footnote w:type="continuationSeparator" w:id="0">
    <w:p w14:paraId="39D18C7F" w14:textId="77777777" w:rsidR="0096446B" w:rsidRDefault="0096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17045D0" w:rsidR="00EB12D8" w:rsidRPr="00412AD6" w:rsidRDefault="00EB12D8" w:rsidP="00412A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261C1" w14:textId="77777777" w:rsidR="00412AD6" w:rsidRDefault="00412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6B29" w14:textId="77777777" w:rsidR="00412AD6" w:rsidRDefault="00412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7512DF"/>
    <w:multiLevelType w:val="hybridMultilevel"/>
    <w:tmpl w:val="62582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C269C7"/>
    <w:multiLevelType w:val="hybridMultilevel"/>
    <w:tmpl w:val="888E5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833E611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8"/>
  </w:num>
  <w:num w:numId="6">
    <w:abstractNumId w:val="15"/>
  </w:num>
  <w:num w:numId="7">
    <w:abstractNumId w:val="18"/>
  </w:num>
  <w:num w:numId="8">
    <w:abstractNumId w:val="9"/>
  </w:num>
  <w:num w:numId="9">
    <w:abstractNumId w:val="5"/>
  </w:num>
  <w:num w:numId="10">
    <w:abstractNumId w:val="2"/>
  </w:num>
  <w:num w:numId="11">
    <w:abstractNumId w:val="1"/>
  </w:num>
  <w:num w:numId="12">
    <w:abstractNumId w:val="0"/>
  </w:num>
  <w:num w:numId="13">
    <w:abstractNumId w:val="17"/>
  </w:num>
  <w:num w:numId="14">
    <w:abstractNumId w:val="12"/>
  </w:num>
  <w:num w:numId="15">
    <w:abstractNumId w:val="19"/>
  </w:num>
  <w:num w:numId="16">
    <w:abstractNumId w:val="6"/>
  </w:num>
  <w:num w:numId="17">
    <w:abstractNumId w:val="11"/>
  </w:num>
  <w:num w:numId="18">
    <w:abstractNumId w:val="10"/>
  </w:num>
  <w:num w:numId="19">
    <w:abstractNumId w:val="4"/>
  </w:num>
  <w:num w:numId="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3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1982"/>
    <w:rsid w:val="001659C1"/>
    <w:rsid w:val="00173A8E"/>
    <w:rsid w:val="0018143F"/>
    <w:rsid w:val="00190AC1"/>
    <w:rsid w:val="0019341A"/>
    <w:rsid w:val="00197DF9"/>
    <w:rsid w:val="001A1987"/>
    <w:rsid w:val="001A2564"/>
    <w:rsid w:val="001A6173"/>
    <w:rsid w:val="001A6CBA"/>
    <w:rsid w:val="001A71D0"/>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715"/>
    <w:rsid w:val="00223FCB"/>
    <w:rsid w:val="002252C3"/>
    <w:rsid w:val="00225C54"/>
    <w:rsid w:val="00230765"/>
    <w:rsid w:val="002319E4"/>
    <w:rsid w:val="00235632"/>
    <w:rsid w:val="00235872"/>
    <w:rsid w:val="00241559"/>
    <w:rsid w:val="002435B3"/>
    <w:rsid w:val="002451ED"/>
    <w:rsid w:val="002458EB"/>
    <w:rsid w:val="002500C8"/>
    <w:rsid w:val="00257543"/>
    <w:rsid w:val="00261768"/>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FB1"/>
    <w:rsid w:val="002D34B2"/>
    <w:rsid w:val="002D7637"/>
    <w:rsid w:val="002E17F2"/>
    <w:rsid w:val="002E7CAE"/>
    <w:rsid w:val="002F2771"/>
    <w:rsid w:val="002F37A9"/>
    <w:rsid w:val="002F6288"/>
    <w:rsid w:val="00301CE6"/>
    <w:rsid w:val="0030256B"/>
    <w:rsid w:val="0030501F"/>
    <w:rsid w:val="00307BA1"/>
    <w:rsid w:val="00307C69"/>
    <w:rsid w:val="00311702"/>
    <w:rsid w:val="00311E82"/>
    <w:rsid w:val="00313FD6"/>
    <w:rsid w:val="003143BD"/>
    <w:rsid w:val="003203ED"/>
    <w:rsid w:val="00322C9F"/>
    <w:rsid w:val="00324D23"/>
    <w:rsid w:val="00327997"/>
    <w:rsid w:val="00331751"/>
    <w:rsid w:val="00331B7B"/>
    <w:rsid w:val="00332C74"/>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432"/>
    <w:rsid w:val="003F2CD4"/>
    <w:rsid w:val="003F6BBE"/>
    <w:rsid w:val="004000E8"/>
    <w:rsid w:val="00402E2B"/>
    <w:rsid w:val="004033B5"/>
    <w:rsid w:val="004050EA"/>
    <w:rsid w:val="0040512B"/>
    <w:rsid w:val="00405CA5"/>
    <w:rsid w:val="00405D13"/>
    <w:rsid w:val="00407CD3"/>
    <w:rsid w:val="00410134"/>
    <w:rsid w:val="00410B72"/>
    <w:rsid w:val="00410F18"/>
    <w:rsid w:val="0041263E"/>
    <w:rsid w:val="00412AD6"/>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20D6"/>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0F73"/>
    <w:rsid w:val="004E2680"/>
    <w:rsid w:val="004E28F9"/>
    <w:rsid w:val="004E462E"/>
    <w:rsid w:val="004E56DC"/>
    <w:rsid w:val="004E76F4"/>
    <w:rsid w:val="004F0B4E"/>
    <w:rsid w:val="004F0B6C"/>
    <w:rsid w:val="004F2078"/>
    <w:rsid w:val="004F3B9B"/>
    <w:rsid w:val="004F4DA3"/>
    <w:rsid w:val="005004A5"/>
    <w:rsid w:val="00506557"/>
    <w:rsid w:val="0050677A"/>
    <w:rsid w:val="005108D8"/>
    <w:rsid w:val="005116F9"/>
    <w:rsid w:val="005153A7"/>
    <w:rsid w:val="00517883"/>
    <w:rsid w:val="005219CF"/>
    <w:rsid w:val="00534B59"/>
    <w:rsid w:val="00536759"/>
    <w:rsid w:val="005372A2"/>
    <w:rsid w:val="00537C62"/>
    <w:rsid w:val="00546970"/>
    <w:rsid w:val="00554192"/>
    <w:rsid w:val="00554E19"/>
    <w:rsid w:val="00557CFB"/>
    <w:rsid w:val="0056121F"/>
    <w:rsid w:val="00572505"/>
    <w:rsid w:val="00575DA6"/>
    <w:rsid w:val="00582809"/>
    <w:rsid w:val="00583D71"/>
    <w:rsid w:val="0058798C"/>
    <w:rsid w:val="005900FA"/>
    <w:rsid w:val="005935A4"/>
    <w:rsid w:val="005948C2"/>
    <w:rsid w:val="00595DCA"/>
    <w:rsid w:val="0059779B"/>
    <w:rsid w:val="005A209A"/>
    <w:rsid w:val="005A2BB6"/>
    <w:rsid w:val="005A662D"/>
    <w:rsid w:val="005B324C"/>
    <w:rsid w:val="005B35D7"/>
    <w:rsid w:val="005B392A"/>
    <w:rsid w:val="005B3AA3"/>
    <w:rsid w:val="005B6F83"/>
    <w:rsid w:val="005C74FB"/>
    <w:rsid w:val="005D1602"/>
    <w:rsid w:val="005E385F"/>
    <w:rsid w:val="005E4541"/>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ED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7F7CDA"/>
    <w:rsid w:val="00803FAE"/>
    <w:rsid w:val="0080605F"/>
    <w:rsid w:val="00806EE7"/>
    <w:rsid w:val="00807786"/>
    <w:rsid w:val="00811FCB"/>
    <w:rsid w:val="008158D6"/>
    <w:rsid w:val="00817196"/>
    <w:rsid w:val="008235DB"/>
    <w:rsid w:val="0082493C"/>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1F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06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F4C"/>
    <w:rsid w:val="00935739"/>
    <w:rsid w:val="009368F3"/>
    <w:rsid w:val="00941636"/>
    <w:rsid w:val="00943742"/>
    <w:rsid w:val="00945C05"/>
    <w:rsid w:val="00946945"/>
    <w:rsid w:val="00947713"/>
    <w:rsid w:val="00950DE7"/>
    <w:rsid w:val="00952A24"/>
    <w:rsid w:val="00953920"/>
    <w:rsid w:val="00953D47"/>
    <w:rsid w:val="009555F2"/>
    <w:rsid w:val="0095681E"/>
    <w:rsid w:val="009572D4"/>
    <w:rsid w:val="00961921"/>
    <w:rsid w:val="0096430A"/>
    <w:rsid w:val="0096446B"/>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0BA2"/>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DA8"/>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48AE"/>
    <w:rsid w:val="00B45A52"/>
    <w:rsid w:val="00B46175"/>
    <w:rsid w:val="00B664C7"/>
    <w:rsid w:val="00B739F6"/>
    <w:rsid w:val="00B75A51"/>
    <w:rsid w:val="00B81A6C"/>
    <w:rsid w:val="00B842B0"/>
    <w:rsid w:val="00B85731"/>
    <w:rsid w:val="00B85DE5"/>
    <w:rsid w:val="00B90F73"/>
    <w:rsid w:val="00B93B59"/>
    <w:rsid w:val="00B9406A"/>
    <w:rsid w:val="00BA2280"/>
    <w:rsid w:val="00BA2A08"/>
    <w:rsid w:val="00BA4227"/>
    <w:rsid w:val="00BA56D2"/>
    <w:rsid w:val="00BA76E0"/>
    <w:rsid w:val="00BB2A25"/>
    <w:rsid w:val="00BB51E9"/>
    <w:rsid w:val="00BC0B9D"/>
    <w:rsid w:val="00BC0FDC"/>
    <w:rsid w:val="00BC3053"/>
    <w:rsid w:val="00BC3722"/>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2F73"/>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6E9"/>
    <w:rsid w:val="00CA1ED8"/>
    <w:rsid w:val="00CA2417"/>
    <w:rsid w:val="00CB1F63"/>
    <w:rsid w:val="00CB7170"/>
    <w:rsid w:val="00CB772F"/>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955"/>
    <w:rsid w:val="00D239A7"/>
    <w:rsid w:val="00D23F47"/>
    <w:rsid w:val="00D36E71"/>
    <w:rsid w:val="00D37D87"/>
    <w:rsid w:val="00D40B33"/>
    <w:rsid w:val="00D4318F"/>
    <w:rsid w:val="00D438BF"/>
    <w:rsid w:val="00D440F8"/>
    <w:rsid w:val="00D546FF"/>
    <w:rsid w:val="00D55AD5"/>
    <w:rsid w:val="00D55B39"/>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80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2D8"/>
    <w:rsid w:val="00EB4EA2"/>
    <w:rsid w:val="00EC27C6"/>
    <w:rsid w:val="00EC4207"/>
    <w:rsid w:val="00EC5653"/>
    <w:rsid w:val="00EC71CE"/>
    <w:rsid w:val="00EC745B"/>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620D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4620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0D6"/>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A20BA2"/>
    <w:rPr>
      <w:color w:val="808080"/>
    </w:rPr>
  </w:style>
  <w:style w:type="table" w:styleId="TableGrid">
    <w:name w:val="Table Grid"/>
    <w:basedOn w:val="TableNormal"/>
    <w:rsid w:val="00B85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B94A5-F8A6-4885-9106-A7CDEB2DE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2113</Words>
  <Characters>12048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2017-06-16T20:55:00Z</dcterms:created>
  <dcterms:modified xsi:type="dcterms:W3CDTF">2017-08-11T18:54:00Z</dcterms:modified>
</cp:coreProperties>
</file>